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pageBreakBefore w:val="0"/>
        <w:widowControl w:val="0"/>
        <w:kinsoku/>
        <w:wordWrap/>
        <w:overflowPunct/>
        <w:topLinePunct w:val="0"/>
        <w:autoSpaceDE/>
        <w:autoSpaceDN/>
        <w:bidi w:val="0"/>
        <w:adjustRightInd/>
        <w:snapToGrid/>
        <w:spacing w:line="400" w:lineRule="exact"/>
        <w:jc w:val="center"/>
        <w:textAlignment w:val="auto"/>
        <w:rPr>
          <w:rFonts w:hint="default"/>
          <w:sz w:val="32"/>
          <w:szCs w:val="32"/>
          <w:lang w:val="en-US" w:eastAsia="zh-CN"/>
        </w:rPr>
      </w:pPr>
      <w:r>
        <w:rPr>
          <w:rFonts w:hint="default"/>
          <w:sz w:val="32"/>
          <w:szCs w:val="32"/>
          <w:lang w:val="en-US" w:eastAsia="zh-CN"/>
        </w:rPr>
        <w:t>新密市水利局新密市城市供水工程(优化改造项</w:t>
      </w:r>
    </w:p>
    <w:p>
      <w:pPr>
        <w:pStyle w:val="5"/>
        <w:keepNext/>
        <w:keepLines/>
        <w:pageBreakBefore w:val="0"/>
        <w:widowControl w:val="0"/>
        <w:kinsoku/>
        <w:wordWrap/>
        <w:overflowPunct/>
        <w:topLinePunct w:val="0"/>
        <w:autoSpaceDE/>
        <w:autoSpaceDN/>
        <w:bidi w:val="0"/>
        <w:adjustRightInd/>
        <w:snapToGrid/>
        <w:spacing w:line="400" w:lineRule="exact"/>
        <w:jc w:val="center"/>
        <w:textAlignment w:val="auto"/>
        <w:rPr>
          <w:rFonts w:hint="default"/>
          <w:sz w:val="32"/>
          <w:szCs w:val="32"/>
          <w:lang w:val="en-US" w:eastAsia="zh-CN"/>
        </w:rPr>
      </w:pPr>
      <w:r>
        <w:rPr>
          <w:rFonts w:hint="default"/>
          <w:sz w:val="32"/>
          <w:szCs w:val="32"/>
          <w:lang w:val="en-US" w:eastAsia="zh-CN"/>
        </w:rPr>
        <w:t>目)一期-智慧水务管理服务平台-软件工程</w:t>
      </w:r>
    </w:p>
    <w:tbl>
      <w:tblPr>
        <w:tblStyle w:val="9"/>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483"/>
        <w:gridCol w:w="2866"/>
        <w:gridCol w:w="851"/>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ascii="宋体" w:hAnsi="宋体" w:cs="宋体"/>
                <w:b/>
                <w:bCs/>
                <w:kern w:val="0"/>
                <w:sz w:val="24"/>
                <w:szCs w:val="24"/>
                <w:lang w:eastAsia="en-US"/>
              </w:rPr>
            </w:pPr>
            <w:r>
              <w:rPr>
                <w:rFonts w:hint="eastAsia" w:ascii="宋体" w:hAnsi="宋体" w:cs="宋体"/>
                <w:b/>
                <w:bCs/>
                <w:kern w:val="0"/>
                <w:sz w:val="24"/>
                <w:szCs w:val="24"/>
                <w:lang w:eastAsia="en-US"/>
              </w:rPr>
              <w:t>序号</w:t>
            </w:r>
          </w:p>
        </w:tc>
        <w:tc>
          <w:tcPr>
            <w:tcW w:w="348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jc w:val="center"/>
              <w:rPr>
                <w:rFonts w:ascii="宋体" w:hAnsi="宋体" w:cs="宋体"/>
                <w:b/>
                <w:bCs/>
                <w:kern w:val="0"/>
                <w:sz w:val="24"/>
                <w:szCs w:val="24"/>
                <w:lang w:eastAsia="en-US"/>
              </w:rPr>
            </w:pPr>
            <w:r>
              <w:rPr>
                <w:rFonts w:hint="eastAsia" w:ascii="宋体" w:hAnsi="宋体" w:cs="宋体"/>
                <w:b/>
                <w:bCs/>
                <w:kern w:val="0"/>
                <w:sz w:val="24"/>
                <w:szCs w:val="24"/>
                <w:lang w:eastAsia="en-US"/>
              </w:rPr>
              <w:t>服务名称</w:t>
            </w:r>
          </w:p>
        </w:tc>
        <w:tc>
          <w:tcPr>
            <w:tcW w:w="286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参数要求</w:t>
            </w:r>
          </w:p>
        </w:tc>
        <w:tc>
          <w:tcPr>
            <w:tcW w:w="85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ascii="宋体" w:hAnsi="宋体" w:cs="宋体"/>
                <w:b/>
                <w:bCs/>
                <w:kern w:val="0"/>
                <w:sz w:val="24"/>
                <w:szCs w:val="24"/>
                <w:lang w:eastAsia="en-US"/>
              </w:rPr>
            </w:pPr>
            <w:r>
              <w:rPr>
                <w:rFonts w:hint="eastAsia" w:ascii="宋体" w:hAnsi="宋体" w:cs="宋体"/>
                <w:b/>
                <w:bCs/>
                <w:kern w:val="0"/>
                <w:sz w:val="24"/>
                <w:szCs w:val="24"/>
                <w:lang w:eastAsia="en-US"/>
              </w:rPr>
              <w:t>数量</w:t>
            </w:r>
          </w:p>
        </w:tc>
        <w:tc>
          <w:tcPr>
            <w:tcW w:w="8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ascii="宋体" w:hAnsi="宋体" w:cs="宋体"/>
                <w:b/>
                <w:bCs/>
                <w:kern w:val="0"/>
                <w:sz w:val="24"/>
                <w:szCs w:val="24"/>
                <w:lang w:eastAsia="en-US"/>
              </w:rPr>
            </w:pPr>
            <w:r>
              <w:rPr>
                <w:rFonts w:hint="eastAsia" w:ascii="宋体" w:hAnsi="宋体" w:cs="宋体"/>
                <w:b/>
                <w:bCs/>
                <w:kern w:val="0"/>
                <w:sz w:val="24"/>
                <w:szCs w:val="24"/>
                <w:lang w:eastAsia="en-US"/>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kern w:val="0"/>
                <w:szCs w:val="21"/>
                <w:highlight w:val="none"/>
                <w:lang w:eastAsia="en-US"/>
              </w:rPr>
            </w:pPr>
            <w:r>
              <w:rPr>
                <w:rFonts w:hint="eastAsia" w:ascii="宋体" w:hAnsi="宋体" w:cs="宋体"/>
                <w:kern w:val="0"/>
                <w:szCs w:val="21"/>
                <w:highlight w:val="none"/>
                <w:lang w:eastAsia="en-US"/>
              </w:rPr>
              <w:t>1</w:t>
            </w:r>
          </w:p>
        </w:tc>
        <w:tc>
          <w:tcPr>
            <w:tcW w:w="348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kern w:val="0"/>
                <w:szCs w:val="21"/>
                <w:highlight w:val="none"/>
                <w:lang w:eastAsia="en-US"/>
              </w:rPr>
            </w:pPr>
            <w:r>
              <w:rPr>
                <w:rFonts w:hint="eastAsia" w:ascii="宋体" w:hAnsi="宋体" w:cs="宋体"/>
                <w:kern w:val="0"/>
                <w:szCs w:val="21"/>
                <w:highlight w:val="none"/>
                <w:lang w:eastAsia="en-US"/>
              </w:rPr>
              <w:t>智慧水务物联网设备管理平台</w:t>
            </w:r>
          </w:p>
        </w:tc>
        <w:tc>
          <w:tcPr>
            <w:tcW w:w="286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详见</w:t>
            </w:r>
            <w:r>
              <w:rPr>
                <w:rFonts w:hint="default" w:ascii="宋体" w:hAnsi="宋体" w:cs="宋体"/>
                <w:kern w:val="0"/>
                <w:szCs w:val="21"/>
                <w:highlight w:val="none"/>
                <w:lang w:val="en-US" w:eastAsia="zh-CN"/>
              </w:rPr>
              <w:t>1.1</w:t>
            </w:r>
            <w:r>
              <w:rPr>
                <w:rFonts w:hint="eastAsia" w:ascii="宋体" w:hAnsi="宋体" w:cs="宋体"/>
                <w:kern w:val="0"/>
                <w:szCs w:val="21"/>
                <w:highlight w:val="none"/>
                <w:lang w:val="en-US" w:eastAsia="zh-CN"/>
              </w:rPr>
              <w:t>技术标准和要求</w:t>
            </w:r>
          </w:p>
        </w:tc>
        <w:tc>
          <w:tcPr>
            <w:tcW w:w="85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kern w:val="0"/>
                <w:szCs w:val="21"/>
                <w:highlight w:val="none"/>
                <w:lang w:eastAsia="en-US"/>
              </w:rPr>
            </w:pPr>
            <w:r>
              <w:rPr>
                <w:rFonts w:hint="eastAsia" w:ascii="宋体" w:hAnsi="宋体" w:cs="宋体"/>
                <w:kern w:val="0"/>
                <w:szCs w:val="21"/>
                <w:highlight w:val="none"/>
                <w:lang w:eastAsia="en-US"/>
              </w:rPr>
              <w:t>1</w:t>
            </w:r>
          </w:p>
        </w:tc>
        <w:tc>
          <w:tcPr>
            <w:tcW w:w="8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kern w:val="0"/>
                <w:szCs w:val="21"/>
                <w:highlight w:val="none"/>
                <w:lang w:eastAsia="en-US"/>
              </w:rPr>
            </w:pPr>
            <w:r>
              <w:rPr>
                <w:rFonts w:hint="eastAsia" w:ascii="宋体" w:hAnsi="宋体" w:cs="宋体"/>
                <w:kern w:val="0"/>
                <w:szCs w:val="21"/>
                <w:highlight w:val="none"/>
                <w:lang w:eastAsia="en-US"/>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kern w:val="0"/>
                <w:szCs w:val="21"/>
                <w:highlight w:val="none"/>
                <w:lang w:eastAsia="en-US"/>
              </w:rPr>
            </w:pPr>
            <w:r>
              <w:rPr>
                <w:rFonts w:hint="eastAsia" w:ascii="宋体" w:hAnsi="宋体" w:cs="宋体"/>
                <w:kern w:val="0"/>
                <w:szCs w:val="21"/>
                <w:highlight w:val="none"/>
                <w:lang w:eastAsia="en-US"/>
              </w:rPr>
              <w:t>2</w:t>
            </w:r>
          </w:p>
        </w:tc>
        <w:tc>
          <w:tcPr>
            <w:tcW w:w="348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kern w:val="0"/>
                <w:szCs w:val="21"/>
                <w:highlight w:val="none"/>
                <w:lang w:eastAsia="en-US"/>
              </w:rPr>
            </w:pPr>
            <w:r>
              <w:rPr>
                <w:rFonts w:hint="eastAsia" w:ascii="宋体" w:hAnsi="宋体" w:cs="宋体"/>
                <w:kern w:val="0"/>
                <w:szCs w:val="21"/>
                <w:highlight w:val="none"/>
                <w:lang w:eastAsia="en-US"/>
              </w:rPr>
              <w:t>供水管网管理 GIS系统</w:t>
            </w:r>
          </w:p>
        </w:tc>
        <w:tc>
          <w:tcPr>
            <w:tcW w:w="286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default" w:ascii="宋体" w:hAnsi="宋体" w:cs="宋体"/>
                <w:kern w:val="0"/>
                <w:szCs w:val="21"/>
                <w:highlight w:val="none"/>
                <w:lang w:val="en-US" w:eastAsia="en-US"/>
              </w:rPr>
            </w:pPr>
            <w:r>
              <w:rPr>
                <w:rFonts w:hint="eastAsia" w:ascii="宋体" w:hAnsi="宋体" w:cs="宋体"/>
                <w:kern w:val="0"/>
                <w:szCs w:val="21"/>
                <w:highlight w:val="none"/>
                <w:lang w:val="en-US" w:eastAsia="zh-CN"/>
              </w:rPr>
              <w:t>详见</w:t>
            </w:r>
            <w:r>
              <w:rPr>
                <w:rFonts w:hint="default" w:ascii="宋体" w:hAnsi="宋体" w:cs="宋体"/>
                <w:kern w:val="0"/>
                <w:szCs w:val="21"/>
                <w:highlight w:val="none"/>
                <w:lang w:val="en-US" w:eastAsia="zh-CN"/>
              </w:rPr>
              <w:t>1.2</w:t>
            </w:r>
            <w:r>
              <w:rPr>
                <w:rFonts w:hint="eastAsia" w:ascii="宋体" w:hAnsi="宋体" w:cs="宋体"/>
                <w:kern w:val="0"/>
                <w:szCs w:val="21"/>
                <w:highlight w:val="none"/>
                <w:lang w:val="en-US" w:eastAsia="zh-CN"/>
              </w:rPr>
              <w:t>技术标准和要求</w:t>
            </w:r>
          </w:p>
        </w:tc>
        <w:tc>
          <w:tcPr>
            <w:tcW w:w="85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kern w:val="0"/>
                <w:szCs w:val="21"/>
                <w:highlight w:val="none"/>
                <w:lang w:eastAsia="en-US"/>
              </w:rPr>
            </w:pPr>
            <w:r>
              <w:rPr>
                <w:rFonts w:hint="eastAsia" w:ascii="宋体" w:hAnsi="宋体" w:cs="宋体"/>
                <w:kern w:val="0"/>
                <w:szCs w:val="21"/>
                <w:highlight w:val="none"/>
                <w:lang w:eastAsia="en-US"/>
              </w:rPr>
              <w:t>1</w:t>
            </w:r>
          </w:p>
        </w:tc>
        <w:tc>
          <w:tcPr>
            <w:tcW w:w="8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kern w:val="0"/>
                <w:szCs w:val="21"/>
                <w:highlight w:val="none"/>
                <w:lang w:eastAsia="en-US"/>
              </w:rPr>
            </w:pPr>
            <w:r>
              <w:rPr>
                <w:rFonts w:hint="eastAsia" w:ascii="宋体" w:hAnsi="宋体" w:cs="宋体"/>
                <w:kern w:val="0"/>
                <w:szCs w:val="21"/>
                <w:highlight w:val="none"/>
                <w:lang w:eastAsia="en-US"/>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kern w:val="0"/>
                <w:szCs w:val="21"/>
                <w:highlight w:val="none"/>
                <w:lang w:eastAsia="en-US"/>
              </w:rPr>
            </w:pPr>
            <w:r>
              <w:rPr>
                <w:rFonts w:hint="default" w:ascii="宋体" w:hAnsi="宋体" w:cs="宋体"/>
                <w:kern w:val="0"/>
                <w:szCs w:val="21"/>
                <w:highlight w:val="none"/>
                <w:lang w:val="en-US" w:eastAsia="en-US"/>
              </w:rPr>
              <w:t>3</w:t>
            </w:r>
          </w:p>
        </w:tc>
        <w:tc>
          <w:tcPr>
            <w:tcW w:w="348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kern w:val="0"/>
                <w:szCs w:val="21"/>
                <w:highlight w:val="none"/>
                <w:lang w:eastAsia="en-US"/>
              </w:rPr>
            </w:pPr>
            <w:r>
              <w:rPr>
                <w:rFonts w:hint="eastAsia" w:ascii="宋体" w:hAnsi="宋体" w:cs="宋体"/>
                <w:kern w:val="0"/>
                <w:szCs w:val="21"/>
                <w:highlight w:val="none"/>
                <w:lang w:eastAsia="en-US"/>
              </w:rPr>
              <w:t>产销差及漏损管理系统</w:t>
            </w:r>
          </w:p>
        </w:tc>
        <w:tc>
          <w:tcPr>
            <w:tcW w:w="286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default" w:ascii="宋体" w:hAnsi="宋体" w:cs="宋体"/>
                <w:kern w:val="0"/>
                <w:szCs w:val="21"/>
                <w:highlight w:val="none"/>
                <w:lang w:val="en-US" w:eastAsia="en-US"/>
              </w:rPr>
            </w:pPr>
            <w:r>
              <w:rPr>
                <w:rFonts w:hint="eastAsia" w:ascii="宋体" w:hAnsi="宋体" w:cs="宋体"/>
                <w:kern w:val="0"/>
                <w:szCs w:val="21"/>
                <w:highlight w:val="none"/>
                <w:lang w:val="en-US" w:eastAsia="zh-CN"/>
              </w:rPr>
              <w:t>详见</w:t>
            </w:r>
            <w:r>
              <w:rPr>
                <w:rFonts w:hint="default" w:ascii="宋体" w:hAnsi="宋体" w:cs="宋体"/>
                <w:kern w:val="0"/>
                <w:szCs w:val="21"/>
                <w:highlight w:val="none"/>
                <w:lang w:val="en-US" w:eastAsia="zh-CN"/>
              </w:rPr>
              <w:t>1.3</w:t>
            </w:r>
            <w:r>
              <w:rPr>
                <w:rFonts w:hint="eastAsia" w:ascii="宋体" w:hAnsi="宋体" w:cs="宋体"/>
                <w:kern w:val="0"/>
                <w:szCs w:val="21"/>
                <w:highlight w:val="none"/>
                <w:lang w:val="en-US" w:eastAsia="zh-CN"/>
              </w:rPr>
              <w:t>技术标准和要求</w:t>
            </w:r>
          </w:p>
        </w:tc>
        <w:tc>
          <w:tcPr>
            <w:tcW w:w="85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kern w:val="0"/>
                <w:szCs w:val="21"/>
                <w:highlight w:val="none"/>
                <w:lang w:eastAsia="en-US"/>
              </w:rPr>
            </w:pPr>
            <w:r>
              <w:rPr>
                <w:rFonts w:hint="eastAsia" w:ascii="宋体" w:hAnsi="宋体" w:cs="宋体"/>
                <w:kern w:val="0"/>
                <w:szCs w:val="21"/>
                <w:highlight w:val="none"/>
                <w:lang w:eastAsia="en-US"/>
              </w:rPr>
              <w:t>1</w:t>
            </w:r>
          </w:p>
        </w:tc>
        <w:tc>
          <w:tcPr>
            <w:tcW w:w="8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kern w:val="0"/>
                <w:szCs w:val="21"/>
                <w:highlight w:val="none"/>
                <w:lang w:eastAsia="en-US"/>
              </w:rPr>
            </w:pPr>
            <w:r>
              <w:rPr>
                <w:rFonts w:hint="eastAsia" w:ascii="宋体" w:hAnsi="宋体" w:cs="宋体"/>
                <w:kern w:val="0"/>
                <w:szCs w:val="21"/>
                <w:highlight w:val="none"/>
                <w:lang w:eastAsia="en-US"/>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kern w:val="0"/>
                <w:szCs w:val="21"/>
                <w:highlight w:val="none"/>
                <w:lang w:eastAsia="en-US"/>
              </w:rPr>
            </w:pPr>
            <w:bookmarkStart w:id="0" w:name="_Hlk13754461"/>
            <w:r>
              <w:rPr>
                <w:rFonts w:hint="default" w:ascii="宋体" w:hAnsi="宋体" w:cs="宋体"/>
                <w:kern w:val="0"/>
                <w:szCs w:val="21"/>
                <w:highlight w:val="none"/>
                <w:lang w:val="en-US" w:eastAsia="en-US"/>
              </w:rPr>
              <w:t>4</w:t>
            </w:r>
          </w:p>
        </w:tc>
        <w:tc>
          <w:tcPr>
            <w:tcW w:w="348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kern w:val="0"/>
                <w:szCs w:val="21"/>
                <w:highlight w:val="none"/>
                <w:lang w:eastAsia="en-US"/>
              </w:rPr>
            </w:pPr>
            <w:r>
              <w:rPr>
                <w:rFonts w:hint="eastAsia" w:ascii="宋体" w:hAnsi="宋体" w:cs="宋体"/>
                <w:kern w:val="0"/>
                <w:szCs w:val="21"/>
                <w:highlight w:val="none"/>
                <w:lang w:eastAsia="en-US"/>
              </w:rPr>
              <w:t>智慧水务综合展示大屏系统</w:t>
            </w:r>
          </w:p>
        </w:tc>
        <w:tc>
          <w:tcPr>
            <w:tcW w:w="286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default" w:ascii="宋体" w:hAnsi="宋体" w:cs="宋体"/>
                <w:kern w:val="0"/>
                <w:szCs w:val="21"/>
                <w:highlight w:val="none"/>
                <w:lang w:val="en-US" w:eastAsia="en-US"/>
              </w:rPr>
            </w:pPr>
            <w:r>
              <w:rPr>
                <w:rFonts w:hint="eastAsia" w:ascii="宋体" w:hAnsi="宋体" w:cs="宋体"/>
                <w:kern w:val="0"/>
                <w:szCs w:val="21"/>
                <w:highlight w:val="none"/>
                <w:lang w:val="en-US" w:eastAsia="zh-CN"/>
              </w:rPr>
              <w:t>详见</w:t>
            </w:r>
            <w:r>
              <w:rPr>
                <w:rFonts w:hint="default" w:ascii="宋体" w:hAnsi="宋体" w:cs="宋体"/>
                <w:kern w:val="0"/>
                <w:szCs w:val="21"/>
                <w:highlight w:val="none"/>
                <w:lang w:val="en-US" w:eastAsia="zh-CN"/>
              </w:rPr>
              <w:t>1.4</w:t>
            </w:r>
            <w:r>
              <w:rPr>
                <w:rFonts w:hint="eastAsia" w:ascii="宋体" w:hAnsi="宋体" w:cs="宋体"/>
                <w:kern w:val="0"/>
                <w:szCs w:val="21"/>
                <w:highlight w:val="none"/>
                <w:lang w:val="en-US" w:eastAsia="zh-CN"/>
              </w:rPr>
              <w:t>技术标准和要求</w:t>
            </w:r>
          </w:p>
        </w:tc>
        <w:tc>
          <w:tcPr>
            <w:tcW w:w="85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kern w:val="0"/>
                <w:szCs w:val="21"/>
                <w:highlight w:val="none"/>
                <w:lang w:eastAsia="en-US"/>
              </w:rPr>
            </w:pPr>
            <w:r>
              <w:rPr>
                <w:rFonts w:hint="eastAsia" w:ascii="宋体" w:hAnsi="宋体" w:cs="宋体"/>
                <w:kern w:val="0"/>
                <w:szCs w:val="21"/>
                <w:highlight w:val="none"/>
                <w:lang w:eastAsia="en-US"/>
              </w:rPr>
              <w:t>1</w:t>
            </w:r>
          </w:p>
        </w:tc>
        <w:tc>
          <w:tcPr>
            <w:tcW w:w="8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kern w:val="0"/>
                <w:szCs w:val="21"/>
                <w:highlight w:val="none"/>
                <w:lang w:eastAsia="en-US"/>
              </w:rPr>
            </w:pPr>
            <w:r>
              <w:rPr>
                <w:rFonts w:hint="eastAsia" w:ascii="宋体" w:hAnsi="宋体" w:cs="宋体"/>
                <w:kern w:val="0"/>
                <w:szCs w:val="21"/>
                <w:highlight w:val="none"/>
                <w:lang w:eastAsia="en-US"/>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kern w:val="0"/>
                <w:szCs w:val="21"/>
                <w:highlight w:val="none"/>
                <w:lang w:eastAsia="en-US"/>
              </w:rPr>
            </w:pPr>
            <w:r>
              <w:rPr>
                <w:rFonts w:hint="default" w:ascii="宋体" w:hAnsi="宋体" w:cs="宋体"/>
                <w:kern w:val="0"/>
                <w:szCs w:val="21"/>
                <w:highlight w:val="none"/>
                <w:lang w:val="en-US" w:eastAsia="en-US"/>
              </w:rPr>
              <w:t>5</w:t>
            </w:r>
          </w:p>
        </w:tc>
        <w:tc>
          <w:tcPr>
            <w:tcW w:w="348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kern w:val="0"/>
                <w:szCs w:val="21"/>
                <w:highlight w:val="none"/>
                <w:lang w:eastAsia="en-US"/>
              </w:rPr>
            </w:pPr>
            <w:r>
              <w:rPr>
                <w:rFonts w:hint="eastAsia" w:ascii="宋体" w:hAnsi="宋体" w:cs="宋体"/>
                <w:kern w:val="0"/>
                <w:szCs w:val="21"/>
                <w:highlight w:val="none"/>
                <w:lang w:eastAsia="en-US"/>
              </w:rPr>
              <w:t>公共平台</w:t>
            </w:r>
          </w:p>
        </w:tc>
        <w:tc>
          <w:tcPr>
            <w:tcW w:w="286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default" w:ascii="宋体" w:hAnsi="宋体" w:cs="宋体"/>
                <w:kern w:val="0"/>
                <w:szCs w:val="21"/>
                <w:highlight w:val="none"/>
                <w:lang w:val="en-US" w:eastAsia="en-US"/>
              </w:rPr>
            </w:pPr>
            <w:r>
              <w:rPr>
                <w:rFonts w:hint="eastAsia" w:ascii="宋体" w:hAnsi="宋体" w:cs="宋体"/>
                <w:kern w:val="0"/>
                <w:szCs w:val="21"/>
                <w:highlight w:val="none"/>
                <w:lang w:val="en-US" w:eastAsia="zh-CN"/>
              </w:rPr>
              <w:t>详见1.</w:t>
            </w:r>
            <w:r>
              <w:rPr>
                <w:rFonts w:hint="default" w:ascii="宋体" w:hAnsi="宋体" w:cs="宋体"/>
                <w:kern w:val="0"/>
                <w:szCs w:val="21"/>
                <w:highlight w:val="none"/>
                <w:lang w:val="en-US" w:eastAsia="zh-CN"/>
              </w:rPr>
              <w:t>5</w:t>
            </w:r>
            <w:r>
              <w:rPr>
                <w:rFonts w:hint="eastAsia" w:ascii="宋体" w:hAnsi="宋体" w:cs="宋体"/>
                <w:kern w:val="0"/>
                <w:szCs w:val="21"/>
                <w:highlight w:val="none"/>
                <w:lang w:val="en-US" w:eastAsia="zh-CN"/>
              </w:rPr>
              <w:t>技术标准和要求</w:t>
            </w:r>
          </w:p>
        </w:tc>
        <w:tc>
          <w:tcPr>
            <w:tcW w:w="85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kern w:val="0"/>
                <w:szCs w:val="21"/>
                <w:highlight w:val="none"/>
                <w:lang w:eastAsia="en-US"/>
              </w:rPr>
            </w:pPr>
            <w:r>
              <w:rPr>
                <w:rFonts w:hint="eastAsia" w:ascii="宋体" w:hAnsi="宋体" w:cs="宋体"/>
                <w:kern w:val="0"/>
                <w:szCs w:val="21"/>
                <w:highlight w:val="none"/>
                <w:lang w:eastAsia="en-US"/>
              </w:rPr>
              <w:t>1</w:t>
            </w:r>
          </w:p>
        </w:tc>
        <w:tc>
          <w:tcPr>
            <w:tcW w:w="8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kern w:val="0"/>
                <w:szCs w:val="21"/>
                <w:highlight w:val="none"/>
                <w:lang w:eastAsia="en-US"/>
              </w:rPr>
            </w:pPr>
            <w:r>
              <w:rPr>
                <w:rFonts w:hint="eastAsia" w:ascii="宋体" w:hAnsi="宋体" w:cs="宋体"/>
                <w:kern w:val="0"/>
                <w:szCs w:val="21"/>
                <w:highlight w:val="none"/>
                <w:lang w:eastAsia="en-US"/>
              </w:rPr>
              <w:t>套</w:t>
            </w:r>
          </w:p>
        </w:tc>
      </w:tr>
      <w:bookmarkEnd w:id="0"/>
    </w:tbl>
    <w:p>
      <w:pPr>
        <w:pStyle w:val="5"/>
        <w:bidi w:val="0"/>
      </w:pPr>
      <w:r>
        <w:rPr>
          <w:rFonts w:hint="default"/>
          <w:color w:val="FF0000"/>
          <w:lang w:val="en-US" w:eastAsia="zh-CN"/>
        </w:rPr>
        <w:t>1.</w:t>
      </w:r>
      <w:r>
        <w:rPr>
          <w:rFonts w:hint="eastAsia"/>
          <w:color w:val="FF0000"/>
          <w:lang w:val="en-US" w:eastAsia="zh-CN"/>
        </w:rPr>
        <w:t>1智慧水务物联网设备管理平台——</w:t>
      </w:r>
      <w:r>
        <w:rPr>
          <w:rFonts w:hint="eastAsia" w:ascii="宋体" w:hAnsi="宋体" w:cs="宋体"/>
          <w:color w:val="FF0000"/>
          <w:kern w:val="0"/>
          <w:szCs w:val="21"/>
          <w:lang w:val="en-US" w:eastAsia="zh-CN"/>
        </w:rPr>
        <w:t>技术标准和要求</w:t>
      </w:r>
    </w:p>
    <w:tbl>
      <w:tblPr>
        <w:tblStyle w:val="9"/>
        <w:tblW w:w="0" w:type="auto"/>
        <w:tblInd w:w="0" w:type="dxa"/>
        <w:tblLayout w:type="autofit"/>
        <w:tblCellMar>
          <w:top w:w="0" w:type="dxa"/>
          <w:left w:w="108" w:type="dxa"/>
          <w:bottom w:w="0" w:type="dxa"/>
          <w:right w:w="108" w:type="dxa"/>
        </w:tblCellMar>
      </w:tblPr>
      <w:tblGrid>
        <w:gridCol w:w="456"/>
        <w:gridCol w:w="1141"/>
        <w:gridCol w:w="1085"/>
        <w:gridCol w:w="5840"/>
      </w:tblGrid>
      <w:tr>
        <w:tblPrEx>
          <w:tblCellMar>
            <w:top w:w="0" w:type="dxa"/>
            <w:left w:w="108" w:type="dxa"/>
            <w:bottom w:w="0" w:type="dxa"/>
            <w:right w:w="108" w:type="dxa"/>
          </w:tblCellMar>
        </w:tblPrEx>
        <w:trPr>
          <w:trHeight w:val="324" w:hRule="atLeast"/>
        </w:trPr>
        <w:tc>
          <w:tcPr>
            <w:tcW w:w="0" w:type="auto"/>
            <w:tcBorders>
              <w:top w:val="single" w:color="auto" w:sz="4" w:space="0"/>
              <w:left w:val="single" w:color="auto" w:sz="4" w:space="0"/>
              <w:bottom w:val="single" w:color="auto" w:sz="4" w:space="0"/>
              <w:right w:val="single" w:color="auto" w:sz="4" w:space="0"/>
            </w:tcBorders>
            <w:shd w:val="clear" w:color="000000" w:fill="auto"/>
            <w:vAlign w:val="center"/>
          </w:tcPr>
          <w:p>
            <w:pPr>
              <w:bidi w:val="0"/>
              <w:ind w:left="0" w:leftChars="0" w:firstLine="0" w:firstLineChars="0"/>
            </w:pPr>
            <w:r>
              <w:rPr>
                <w:rFonts w:hint="eastAsia"/>
              </w:rPr>
              <w:t>序号</w:t>
            </w:r>
          </w:p>
        </w:tc>
        <w:tc>
          <w:tcPr>
            <w:tcW w:w="1145" w:type="dxa"/>
            <w:tcBorders>
              <w:top w:val="single" w:color="auto" w:sz="4" w:space="0"/>
              <w:left w:val="nil"/>
              <w:bottom w:val="single" w:color="auto" w:sz="4" w:space="0"/>
              <w:right w:val="single" w:color="auto" w:sz="4" w:space="0"/>
            </w:tcBorders>
            <w:shd w:val="clear" w:color="000000" w:fill="auto"/>
            <w:vAlign w:val="center"/>
          </w:tcPr>
          <w:p>
            <w:pPr>
              <w:bidi w:val="0"/>
              <w:ind w:left="0" w:leftChars="0" w:firstLine="0" w:firstLineChars="0"/>
            </w:pPr>
            <w:r>
              <w:rPr>
                <w:rFonts w:hint="eastAsia"/>
              </w:rPr>
              <w:t>模块名称</w:t>
            </w:r>
          </w:p>
        </w:tc>
        <w:tc>
          <w:tcPr>
            <w:tcW w:w="1089" w:type="dxa"/>
            <w:tcBorders>
              <w:top w:val="single" w:color="auto" w:sz="4" w:space="0"/>
              <w:left w:val="nil"/>
              <w:bottom w:val="single" w:color="auto" w:sz="4" w:space="0"/>
              <w:right w:val="single" w:color="auto" w:sz="4" w:space="0"/>
            </w:tcBorders>
            <w:shd w:val="clear" w:color="000000" w:fill="auto"/>
            <w:vAlign w:val="center"/>
          </w:tcPr>
          <w:p>
            <w:pPr>
              <w:bidi w:val="0"/>
              <w:ind w:left="0" w:leftChars="0" w:firstLine="0" w:firstLineChars="0"/>
            </w:pPr>
            <w:r>
              <w:rPr>
                <w:rFonts w:hint="eastAsia"/>
              </w:rPr>
              <w:t>功能点</w:t>
            </w:r>
          </w:p>
        </w:tc>
        <w:tc>
          <w:tcPr>
            <w:tcW w:w="5871" w:type="dxa"/>
            <w:tcBorders>
              <w:top w:val="single" w:color="auto" w:sz="4" w:space="0"/>
              <w:left w:val="nil"/>
              <w:bottom w:val="single" w:color="auto" w:sz="4" w:space="0"/>
              <w:right w:val="single" w:color="auto" w:sz="4" w:space="0"/>
            </w:tcBorders>
            <w:shd w:val="clear" w:color="000000" w:fill="auto"/>
            <w:vAlign w:val="center"/>
          </w:tcPr>
          <w:p>
            <w:pPr>
              <w:bidi w:val="0"/>
            </w:pPr>
            <w:r>
              <w:rPr>
                <w:rFonts w:hint="eastAsia"/>
              </w:rPr>
              <w:t>功能</w:t>
            </w:r>
            <w:r>
              <w:rPr>
                <w:rFonts w:hint="eastAsia"/>
                <w:lang w:val="en-US" w:eastAsia="zh-CN"/>
              </w:rPr>
              <w:t>需求</w:t>
            </w:r>
            <w:r>
              <w:rPr>
                <w:rFonts w:hint="eastAsia"/>
              </w:rPr>
              <w:t>描述</w:t>
            </w:r>
          </w:p>
        </w:tc>
      </w:tr>
      <w:tr>
        <w:tblPrEx>
          <w:tblCellMar>
            <w:top w:w="0" w:type="dxa"/>
            <w:left w:w="108" w:type="dxa"/>
            <w:bottom w:w="0" w:type="dxa"/>
            <w:right w:w="108"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000000"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w:t>
            </w:r>
          </w:p>
        </w:tc>
        <w:tc>
          <w:tcPr>
            <w:tcW w:w="1145" w:type="dxa"/>
            <w:tcBorders>
              <w:top w:val="nil"/>
              <w:left w:val="nil"/>
              <w:bottom w:val="single" w:color="auto" w:sz="4" w:space="0"/>
              <w:right w:val="single" w:color="auto" w:sz="4" w:space="0"/>
            </w:tcBorders>
            <w:shd w:val="clear" w:color="000000"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GIS设备拓扑</w:t>
            </w:r>
          </w:p>
        </w:tc>
        <w:tc>
          <w:tcPr>
            <w:tcW w:w="1089" w:type="dxa"/>
            <w:tcBorders>
              <w:top w:val="nil"/>
              <w:left w:val="nil"/>
              <w:bottom w:val="single" w:color="auto" w:sz="4" w:space="0"/>
              <w:right w:val="single" w:color="auto" w:sz="4" w:space="0"/>
            </w:tcBorders>
            <w:shd w:val="clear" w:color="000000"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GIS设备拓扑</w:t>
            </w:r>
          </w:p>
        </w:tc>
        <w:tc>
          <w:tcPr>
            <w:tcW w:w="5871" w:type="dxa"/>
            <w:tcBorders>
              <w:top w:val="nil"/>
              <w:left w:val="nil"/>
              <w:bottom w:val="single" w:color="auto" w:sz="4" w:space="0"/>
              <w:right w:val="single" w:color="auto" w:sz="4" w:space="0"/>
            </w:tcBorders>
            <w:shd w:val="clear" w:color="000000"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1.支持通过地图查看每个站点下的设备详细信息</w:t>
            </w:r>
            <w:r>
              <w:rPr>
                <w:rFonts w:hint="eastAsia" w:ascii="Times New Roman" w:hAnsi="Times New Roman" w:cs="Times New Roman"/>
              </w:rPr>
              <w:br w:type="textWrapping"/>
            </w:r>
            <w:r>
              <w:rPr>
                <w:rFonts w:hint="eastAsia" w:ascii="Times New Roman" w:hAnsi="Times New Roman" w:cs="Times New Roman"/>
              </w:rPr>
              <w:t>2.支持在站点下传感类IoT设备、IoT设备以及行业设备之间的从属关系</w:t>
            </w:r>
            <w:r>
              <w:rPr>
                <w:rFonts w:hint="eastAsia" w:ascii="Times New Roman" w:hAnsi="Times New Roman" w:cs="Times New Roman"/>
              </w:rPr>
              <w:br w:type="textWrapping"/>
            </w:r>
            <w:r>
              <w:rPr>
                <w:rFonts w:hint="eastAsia" w:ascii="Times New Roman" w:hAnsi="Times New Roman" w:cs="Times New Roman"/>
              </w:rPr>
              <w:t>3.支持站点下设备所有报警中的报警信息统计，报警统计信息以饼状图进行呈现</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2</w:t>
            </w:r>
          </w:p>
        </w:tc>
        <w:tc>
          <w:tcPr>
            <w:tcW w:w="1145" w:type="dxa"/>
            <w:vMerge w:val="restart"/>
            <w:tcBorders>
              <w:top w:val="nil"/>
              <w:left w:val="single" w:color="auto" w:sz="4" w:space="0"/>
              <w:bottom w:val="nil"/>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bookmarkStart w:id="1" w:name="_GoBack"/>
            <w:bookmarkEnd w:id="1"/>
            <w:r>
              <w:rPr>
                <w:rFonts w:hint="eastAsia"/>
                <w:lang w:eastAsia="zh-CN"/>
              </w:rPr>
              <w:t xml:space="preserve"> </w:t>
            </w:r>
            <w:r>
              <w:rPr>
                <w:rFonts w:hint="eastAsia" w:ascii="Times New Roman" w:hAnsi="Times New Roman" w:cs="Times New Roman"/>
              </w:rPr>
              <w:t>IoT通信接入</w:t>
            </w:r>
          </w:p>
        </w:tc>
        <w:tc>
          <w:tcPr>
            <w:tcW w:w="1089"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多网络接入</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支持物联网设备通过有线和无线的方式接入平台，如固定宽带、2G/3G/4G/5G</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3</w:t>
            </w:r>
          </w:p>
        </w:tc>
        <w:tc>
          <w:tcPr>
            <w:tcW w:w="1145" w:type="dxa"/>
            <w:vMerge w:val="continue"/>
            <w:tcBorders>
              <w:top w:val="nil"/>
              <w:left w:val="single" w:color="auto" w:sz="4" w:space="0"/>
              <w:bottom w:val="nil"/>
              <w:right w:val="single" w:color="auto"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多协议接入</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default" w:ascii="Times New Roman" w:hAnsi="Times New Roman" w:eastAsia="宋体" w:cs="Times New Roman"/>
                <w:lang w:val="en-US" w:eastAsia="zh-CN"/>
              </w:rPr>
            </w:pPr>
            <w:r>
              <w:rPr>
                <w:rFonts w:hint="eastAsia" w:ascii="Times New Roman" w:hAnsi="Times New Roman" w:cs="Times New Roman"/>
              </w:rPr>
              <w:t>支持业界主流的物联网终端设备接入协议，包括：MQTT、HTTP</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4</w:t>
            </w:r>
          </w:p>
        </w:tc>
        <w:tc>
          <w:tcPr>
            <w:tcW w:w="1145" w:type="dxa"/>
            <w:vMerge w:val="continue"/>
            <w:tcBorders>
              <w:top w:val="nil"/>
              <w:left w:val="single" w:color="auto" w:sz="4" w:space="0"/>
              <w:bottom w:val="nil"/>
              <w:right w:val="single" w:color="auto"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行业协议接入</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支持通过边缘网关接入Modbus及其他行业协议，支持UDP/TCP传输协议</w:t>
            </w:r>
          </w:p>
        </w:tc>
      </w:tr>
      <w:tr>
        <w:tblPrEx>
          <w:tblCellMar>
            <w:top w:w="0" w:type="dxa"/>
            <w:left w:w="108" w:type="dxa"/>
            <w:bottom w:w="0" w:type="dxa"/>
            <w:right w:w="108"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5</w:t>
            </w:r>
          </w:p>
        </w:tc>
        <w:tc>
          <w:tcPr>
            <w:tcW w:w="11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监测量管理</w:t>
            </w:r>
          </w:p>
        </w:tc>
        <w:tc>
          <w:tcPr>
            <w:tcW w:w="1089"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监测量库</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建立IoT设备统一的监测量库，实现如下功能：</w:t>
            </w:r>
            <w:r>
              <w:rPr>
                <w:rFonts w:hint="eastAsia" w:ascii="Times New Roman" w:hAnsi="Times New Roman" w:cs="Times New Roman"/>
              </w:rPr>
              <w:br w:type="textWrapping"/>
            </w:r>
            <w:r>
              <w:rPr>
                <w:rFonts w:hint="eastAsia" w:ascii="Times New Roman" w:hAnsi="Times New Roman" w:cs="Times New Roman"/>
              </w:rPr>
              <w:t>1.为监测量和传感器建立标准化、统一化、模板化管理。</w:t>
            </w:r>
            <w:r>
              <w:rPr>
                <w:rFonts w:hint="eastAsia" w:ascii="Times New Roman" w:hAnsi="Times New Roman" w:cs="Times New Roman"/>
              </w:rPr>
              <w:br w:type="textWrapping"/>
            </w:r>
            <w:r>
              <w:rPr>
                <w:rFonts w:hint="eastAsia" w:ascii="Times New Roman" w:hAnsi="Times New Roman" w:cs="Times New Roman"/>
              </w:rPr>
              <w:t>2.实现设备维护中监测量的快速建立，通过模板选择，能够高效、正确的建立设备监测量信息。</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6</w:t>
            </w:r>
          </w:p>
        </w:tc>
        <w:tc>
          <w:tcPr>
            <w:tcW w:w="1145" w:type="dxa"/>
            <w:vMerge w:val="continue"/>
            <w:tcBorders>
              <w:top w:val="single" w:color="auto" w:sz="4" w:space="0"/>
              <w:left w:val="single" w:color="auto" w:sz="4" w:space="0"/>
              <w:bottom w:val="single" w:color="auto" w:sz="4" w:space="0"/>
              <w:right w:val="single" w:color="auto"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统计监测量</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根据实时数据和测点，计算出新的监测量，并保存到实时数据中。另外相应的历史数据也会存在计算后的监测量。</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7</w:t>
            </w:r>
          </w:p>
        </w:tc>
        <w:tc>
          <w:tcPr>
            <w:tcW w:w="1145" w:type="dxa"/>
            <w:vMerge w:val="continue"/>
            <w:tcBorders>
              <w:top w:val="single" w:color="auto" w:sz="4" w:space="0"/>
              <w:left w:val="single" w:color="auto" w:sz="4" w:space="0"/>
              <w:bottom w:val="single" w:color="auto" w:sz="4" w:space="0"/>
              <w:right w:val="single" w:color="auto"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single" w:color="auto" w:sz="4" w:space="0"/>
              <w:left w:val="nil"/>
              <w:bottom w:val="nil"/>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监测量类型管理</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平台在界面提供自定义的监测量类型配置。通过自定义监测量类型实现数据与应用场景下各业务的关联。</w:t>
            </w:r>
          </w:p>
        </w:tc>
      </w:tr>
      <w:tr>
        <w:tblPrEx>
          <w:tblCellMar>
            <w:top w:w="0" w:type="dxa"/>
            <w:left w:w="108" w:type="dxa"/>
            <w:bottom w:w="0" w:type="dxa"/>
            <w:right w:w="108"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8</w:t>
            </w:r>
          </w:p>
        </w:tc>
        <w:tc>
          <w:tcPr>
            <w:tcW w:w="11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lang w:eastAsia="zh-CN"/>
              </w:rPr>
              <w:t xml:space="preserve"> </w:t>
            </w:r>
            <w:r>
              <w:rPr>
                <w:rFonts w:hint="eastAsia" w:ascii="Times New Roman" w:hAnsi="Times New Roman" w:cs="Times New Roman"/>
              </w:rPr>
              <w:t>IoT设备管理</w:t>
            </w:r>
          </w:p>
        </w:tc>
        <w:tc>
          <w:tcPr>
            <w:tcW w:w="1089" w:type="dxa"/>
            <w:tcBorders>
              <w:top w:val="single" w:color="000000" w:sz="4" w:space="0"/>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IoT设备模版</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通过IoT设备模板建立设备元数据，统一管理设备基础属性和服务能力，实现IoT设备统一规范的设备属性、服务能力、通信规范，为IoT设备平台与各个业务平台实现高度扩展性、灵活性、统一性、规范化提供基础和标准。</w:t>
            </w:r>
          </w:p>
        </w:tc>
      </w:tr>
      <w:tr>
        <w:tblPrEx>
          <w:tblCellMar>
            <w:top w:w="0" w:type="dxa"/>
            <w:left w:w="108" w:type="dxa"/>
            <w:bottom w:w="0" w:type="dxa"/>
            <w:right w:w="108" w:type="dxa"/>
          </w:tblCellMar>
        </w:tblPrEx>
        <w:trPr>
          <w:trHeight w:val="120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9</w:t>
            </w:r>
          </w:p>
        </w:tc>
        <w:tc>
          <w:tcPr>
            <w:tcW w:w="1145" w:type="dxa"/>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IoT设备信息</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IoT设备的统一化管理，对打破业务平台分散化设备管理，实现自动化和多系统协同。</w:t>
            </w:r>
            <w:r>
              <w:rPr>
                <w:rFonts w:hint="eastAsia" w:ascii="Times New Roman" w:hAnsi="Times New Roman" w:cs="Times New Roman"/>
              </w:rPr>
              <w:br w:type="textWrapping"/>
            </w:r>
            <w:r>
              <w:rPr>
                <w:rFonts w:hint="eastAsia" w:ascii="Times New Roman" w:hAnsi="Times New Roman" w:cs="Times New Roman"/>
              </w:rPr>
              <w:t>平台提供完整的IoT设备信息管理功能，支持根据模板创建设备、设置设备的基础信息、属性、监测量、上下行配置、安全认证属性。建立完整的设备信息，使IoT设备能够安全、方便的接入设备管理平台。</w:t>
            </w:r>
            <w:r>
              <w:rPr>
                <w:rFonts w:hint="eastAsia" w:ascii="Times New Roman" w:hAnsi="Times New Roman" w:cs="Times New Roman"/>
              </w:rPr>
              <w:br w:type="textWrapping"/>
            </w:r>
            <w:r>
              <w:rPr>
                <w:rFonts w:hint="eastAsia" w:ascii="Times New Roman" w:hAnsi="Times New Roman" w:cs="Times New Roman"/>
              </w:rPr>
              <w:t>支持对IoT设备监测数据的实时采集、入库及呈现</w:t>
            </w:r>
            <w:r>
              <w:rPr>
                <w:rFonts w:hint="eastAsia" w:ascii="Times New Roman" w:hAnsi="Times New Roman" w:cs="Times New Roman"/>
              </w:rPr>
              <w:br w:type="textWrapping"/>
            </w:r>
            <w:r>
              <w:rPr>
                <w:rFonts w:hint="eastAsia" w:ascii="Times New Roman" w:hAnsi="Times New Roman" w:cs="Times New Roman"/>
              </w:rPr>
              <w:t>支持对IoT设备进行远程下控，包含启停操作及设备参数设定等。</w:t>
            </w:r>
          </w:p>
        </w:tc>
      </w:tr>
      <w:tr>
        <w:tblPrEx>
          <w:tblCellMar>
            <w:top w:w="0" w:type="dxa"/>
            <w:left w:w="108" w:type="dxa"/>
            <w:bottom w:w="0" w:type="dxa"/>
            <w:right w:w="108"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10</w:t>
            </w:r>
          </w:p>
        </w:tc>
        <w:tc>
          <w:tcPr>
            <w:tcW w:w="1145" w:type="dxa"/>
            <w:vMerge w:val="restart"/>
            <w:tcBorders>
              <w:top w:val="nil"/>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行业设备</w:t>
            </w: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行业设备模版</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行业设备定义为水务企业生产运行和营收业务中使用的组合成套设备，如水泵、阀门等。行业设备模板支持定义一类行业设备具备的特征和属性，通过模板能实现行业设备的快速创建。</w:t>
            </w:r>
            <w:r>
              <w:rPr>
                <w:rFonts w:hint="eastAsia" w:ascii="Times New Roman" w:hAnsi="Times New Roman" w:cs="Times New Roman"/>
              </w:rPr>
              <w:br w:type="textWrapping"/>
            </w:r>
            <w:r>
              <w:rPr>
                <w:rFonts w:hint="eastAsia" w:ascii="Times New Roman" w:hAnsi="Times New Roman" w:cs="Times New Roman"/>
              </w:rPr>
              <w:t>支持行业设备模板的创建、复制、编辑、删除和查。</w:t>
            </w:r>
          </w:p>
        </w:tc>
      </w:tr>
      <w:tr>
        <w:tblPrEx>
          <w:tblCellMar>
            <w:top w:w="0" w:type="dxa"/>
            <w:left w:w="108" w:type="dxa"/>
            <w:bottom w:w="0" w:type="dxa"/>
            <w:right w:w="108"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11</w:t>
            </w:r>
          </w:p>
        </w:tc>
        <w:tc>
          <w:tcPr>
            <w:tcW w:w="1145" w:type="dxa"/>
            <w:vMerge w:val="continue"/>
            <w:tcBorders>
              <w:top w:val="nil"/>
              <w:left w:val="single" w:color="000000" w:sz="4" w:space="0"/>
              <w:bottom w:val="single" w:color="000000" w:sz="4" w:space="0"/>
              <w:right w:val="single" w:color="000000"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行业设备信息</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1.支持行业设备的创建、克隆、编辑、删除和查询。通过创建行业设备实现平台对于行业设备的管理</w:t>
            </w:r>
            <w:r>
              <w:rPr>
                <w:rFonts w:hint="eastAsia" w:ascii="Times New Roman" w:hAnsi="Times New Roman" w:cs="Times New Roman"/>
              </w:rPr>
              <w:br w:type="textWrapping"/>
            </w:r>
            <w:r>
              <w:rPr>
                <w:rFonts w:hint="eastAsia" w:ascii="Times New Roman" w:hAnsi="Times New Roman" w:cs="Times New Roman"/>
              </w:rPr>
              <w:t>2.支持设备名称、在线状态、站点等维度查看行业设备列表。</w:t>
            </w:r>
            <w:r>
              <w:rPr>
                <w:rFonts w:hint="eastAsia" w:ascii="Times New Roman" w:hAnsi="Times New Roman" w:cs="Times New Roman"/>
              </w:rPr>
              <w:br w:type="textWrapping"/>
            </w:r>
            <w:r>
              <w:rPr>
                <w:rFonts w:hint="eastAsia" w:ascii="Times New Roman" w:hAnsi="Times New Roman" w:cs="Times New Roman"/>
              </w:rPr>
              <w:t>3.支持对行业设备进行远程下控，包含启停操作及设备参数设定等</w:t>
            </w:r>
            <w:r>
              <w:rPr>
                <w:rFonts w:hint="eastAsia" w:ascii="Times New Roman" w:hAnsi="Times New Roman" w:cs="Times New Roman"/>
              </w:rPr>
              <w:br w:type="textWrapping"/>
            </w:r>
            <w:r>
              <w:rPr>
                <w:rFonts w:hint="eastAsia" w:ascii="Times New Roman" w:hAnsi="Times New Roman" w:cs="Times New Roman"/>
              </w:rPr>
              <w:t>4.支持对IoT设备监测数据的实时采集、入库及呈现</w:t>
            </w:r>
          </w:p>
        </w:tc>
      </w:tr>
      <w:tr>
        <w:tblPrEx>
          <w:tblCellMar>
            <w:top w:w="0" w:type="dxa"/>
            <w:left w:w="108" w:type="dxa"/>
            <w:bottom w:w="0" w:type="dxa"/>
            <w:right w:w="108"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12</w:t>
            </w:r>
          </w:p>
        </w:tc>
        <w:tc>
          <w:tcPr>
            <w:tcW w:w="1145" w:type="dxa"/>
            <w:tcBorders>
              <w:top w:val="nil"/>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接口用户管理</w:t>
            </w: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接口用户管理</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通过建立接口用户管理设置用户查看接口数据的权限，有效的截断了非法第三方系统通过接口获取IOT设备数据的通路，提升了IOT设备数据的安全性。</w:t>
            </w:r>
            <w:r>
              <w:rPr>
                <w:rFonts w:hint="eastAsia" w:ascii="Times New Roman" w:hAnsi="Times New Roman" w:cs="Times New Roman"/>
              </w:rPr>
              <w:br w:type="textWrapping"/>
            </w:r>
            <w:r>
              <w:rPr>
                <w:rFonts w:hint="eastAsia" w:ascii="Times New Roman" w:hAnsi="Times New Roman" w:cs="Times New Roman"/>
              </w:rPr>
              <w:t>1.界面提供用户查看接口数据权限的设置</w:t>
            </w:r>
            <w:r>
              <w:rPr>
                <w:rFonts w:hint="eastAsia" w:ascii="Times New Roman" w:hAnsi="Times New Roman" w:cs="Times New Roman"/>
              </w:rPr>
              <w:br w:type="textWrapping"/>
            </w:r>
            <w:r>
              <w:rPr>
                <w:rFonts w:hint="eastAsia" w:ascii="Times New Roman" w:hAnsi="Times New Roman" w:cs="Times New Roman"/>
              </w:rPr>
              <w:t>2.支持通过外系统调用接口报文中携带的用户信息来判断查询设备信息与设备数据的权限</w:t>
            </w:r>
          </w:p>
        </w:tc>
      </w:tr>
      <w:tr>
        <w:tblPrEx>
          <w:tblCellMar>
            <w:top w:w="0" w:type="dxa"/>
            <w:left w:w="108" w:type="dxa"/>
            <w:bottom w:w="0" w:type="dxa"/>
            <w:right w:w="108"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13</w:t>
            </w:r>
          </w:p>
        </w:tc>
        <w:tc>
          <w:tcPr>
            <w:tcW w:w="1145" w:type="dxa"/>
            <w:tcBorders>
              <w:top w:val="nil"/>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设备报警</w:t>
            </w: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设备报警</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1.通过采集和记录的方式获取设备上报的报警信息并进行界面呈现。用户可在界面通过报警级别、站点以及时间段进行相关报警信息查询。</w:t>
            </w:r>
            <w:r>
              <w:rPr>
                <w:rFonts w:hint="eastAsia" w:ascii="Times New Roman" w:hAnsi="Times New Roman" w:cs="Times New Roman"/>
              </w:rPr>
              <w:br w:type="textWrapping"/>
            </w:r>
            <w:r>
              <w:rPr>
                <w:rFonts w:hint="eastAsia" w:ascii="Times New Roman" w:hAnsi="Times New Roman" w:cs="Times New Roman"/>
              </w:rPr>
              <w:t>2.提供预警、告警通知、查询、处理能力，快速响应处理告警异常等事故</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14</w:t>
            </w:r>
          </w:p>
        </w:tc>
        <w:tc>
          <w:tcPr>
            <w:tcW w:w="1145" w:type="dxa"/>
            <w:tcBorders>
              <w:top w:val="nil"/>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lang w:eastAsia="zh-CN"/>
              </w:rPr>
              <w:t xml:space="preserve"> </w:t>
            </w:r>
            <w:r>
              <w:rPr>
                <w:rFonts w:hint="eastAsia" w:ascii="Times New Roman" w:hAnsi="Times New Roman" w:cs="Times New Roman"/>
              </w:rPr>
              <w:t>设备KPI</w:t>
            </w: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设备KPI</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根据系统记录的所有设备信息统计出设备管理需要的图表，如：设备运行，在离线状态，设备新增，报警分析等</w:t>
            </w:r>
          </w:p>
        </w:tc>
      </w:tr>
      <w:tr>
        <w:tblPrEx>
          <w:tblCellMar>
            <w:top w:w="0" w:type="dxa"/>
            <w:left w:w="108" w:type="dxa"/>
            <w:bottom w:w="0" w:type="dxa"/>
            <w:right w:w="108" w:type="dxa"/>
          </w:tblCellMar>
        </w:tblPrEx>
        <w:trPr>
          <w:trHeight w:val="672"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15</w:t>
            </w:r>
          </w:p>
        </w:tc>
        <w:tc>
          <w:tcPr>
            <w:tcW w:w="1145" w:type="dxa"/>
            <w:vMerge w:val="restart"/>
            <w:tcBorders>
              <w:top w:val="nil"/>
              <w:left w:val="single" w:color="auto" w:sz="4" w:space="0"/>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远传表设备管理</w:t>
            </w: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集中器管理</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1.支持集中器的信息管理。平台通过底层数据采集、数据传输以及数据处理，把水表信息集中起来进行统一管理，为抄表系统提供数据支持，解决设备信息的重复录入。</w:t>
            </w:r>
            <w:r>
              <w:rPr>
                <w:rFonts w:hint="eastAsia" w:ascii="Times New Roman" w:hAnsi="Times New Roman" w:cs="Times New Roman"/>
              </w:rPr>
              <w:br w:type="textWrapping"/>
            </w:r>
            <w:r>
              <w:rPr>
                <w:rFonts w:hint="eastAsia" w:ascii="Times New Roman" w:hAnsi="Times New Roman" w:cs="Times New Roman"/>
              </w:rPr>
              <w:t>2.支持集中器设备信息的批量导出</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16</w:t>
            </w:r>
          </w:p>
        </w:tc>
        <w:tc>
          <w:tcPr>
            <w:tcW w:w="1145" w:type="dxa"/>
            <w:vMerge w:val="continue"/>
            <w:tcBorders>
              <w:top w:val="nil"/>
              <w:left w:val="single" w:color="auto" w:sz="4" w:space="0"/>
              <w:bottom w:val="single" w:color="000000" w:sz="4" w:space="0"/>
              <w:right w:val="single" w:color="000000"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采集器管理</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采集器信息管理，支持界面新增、编辑、查询采集器的操作。</w:t>
            </w:r>
          </w:p>
        </w:tc>
      </w:tr>
      <w:tr>
        <w:tblPrEx>
          <w:tblCellMar>
            <w:top w:w="0" w:type="dxa"/>
            <w:left w:w="108" w:type="dxa"/>
            <w:bottom w:w="0" w:type="dxa"/>
            <w:right w:w="108" w:type="dxa"/>
          </w:tblCellMar>
        </w:tblPrEx>
        <w:trPr>
          <w:trHeight w:val="144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17</w:t>
            </w:r>
          </w:p>
        </w:tc>
        <w:tc>
          <w:tcPr>
            <w:tcW w:w="1145" w:type="dxa"/>
            <w:vMerge w:val="continue"/>
            <w:tcBorders>
              <w:top w:val="nil"/>
              <w:left w:val="single" w:color="auto" w:sz="4" w:space="0"/>
              <w:bottom w:val="single" w:color="000000" w:sz="4" w:space="0"/>
              <w:right w:val="single" w:color="000000"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远传表管理</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1.支持远程水表信息管理，支持新增、删除、编辑、查询的操作</w:t>
            </w:r>
            <w:r>
              <w:rPr>
                <w:rFonts w:hint="eastAsia" w:ascii="Times New Roman" w:hAnsi="Times New Roman" w:cs="Times New Roman"/>
              </w:rPr>
              <w:br w:type="textWrapping"/>
            </w:r>
            <w:r>
              <w:rPr>
                <w:rFonts w:hint="eastAsia" w:ascii="Times New Roman" w:hAnsi="Times New Roman" w:cs="Times New Roman"/>
              </w:rPr>
              <w:t>2.支持通过克隆的方式实现远传表的快速创建</w:t>
            </w:r>
            <w:r>
              <w:rPr>
                <w:rFonts w:hint="eastAsia" w:ascii="Times New Roman" w:hAnsi="Times New Roman" w:cs="Times New Roman"/>
              </w:rPr>
              <w:br w:type="textWrapping"/>
            </w:r>
            <w:r>
              <w:rPr>
                <w:rFonts w:hint="eastAsia" w:ascii="Times New Roman" w:hAnsi="Times New Roman" w:cs="Times New Roman"/>
              </w:rPr>
              <w:t>3.支持通过批量导入的方式实现远传表的批量创建</w:t>
            </w:r>
            <w:r>
              <w:rPr>
                <w:rFonts w:hint="eastAsia" w:ascii="Times New Roman" w:hAnsi="Times New Roman" w:cs="Times New Roman"/>
              </w:rPr>
              <w:br w:type="textWrapping"/>
            </w:r>
            <w:r>
              <w:rPr>
                <w:rFonts w:hint="eastAsia" w:ascii="Times New Roman" w:hAnsi="Times New Roman" w:cs="Times New Roman"/>
              </w:rPr>
              <w:t>4.支持通过批量的方式实现远传表的批量删除</w:t>
            </w:r>
            <w:r>
              <w:rPr>
                <w:rFonts w:hint="eastAsia" w:ascii="Times New Roman" w:hAnsi="Times New Roman" w:cs="Times New Roman"/>
              </w:rPr>
              <w:br w:type="textWrapping"/>
            </w:r>
            <w:r>
              <w:rPr>
                <w:rFonts w:hint="eastAsia" w:ascii="Times New Roman" w:hAnsi="Times New Roman" w:cs="Times New Roman"/>
              </w:rPr>
              <w:t>5.支持通过配置的方式实现批量创建/删除远传表与采集器、集中器、站点的关联关系</w:t>
            </w:r>
            <w:r>
              <w:rPr>
                <w:rFonts w:hint="eastAsia" w:ascii="Times New Roman" w:hAnsi="Times New Roman" w:cs="Times New Roman"/>
              </w:rPr>
              <w:br w:type="textWrapping"/>
            </w:r>
            <w:r>
              <w:rPr>
                <w:rFonts w:hint="eastAsia" w:ascii="Times New Roman" w:hAnsi="Times New Roman" w:cs="Times New Roman"/>
              </w:rPr>
              <w:t>6.支持对远传表的批量抄表，抄表数据入库及界面呈现</w:t>
            </w:r>
          </w:p>
        </w:tc>
      </w:tr>
      <w:tr>
        <w:tblPrEx>
          <w:tblCellMar>
            <w:top w:w="0" w:type="dxa"/>
            <w:left w:w="108" w:type="dxa"/>
            <w:bottom w:w="0" w:type="dxa"/>
            <w:right w:w="108"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18</w:t>
            </w:r>
          </w:p>
        </w:tc>
        <w:tc>
          <w:tcPr>
            <w:tcW w:w="1145" w:type="dxa"/>
            <w:tcBorders>
              <w:top w:val="nil"/>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协议配置管理</w:t>
            </w: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协议配置管理</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平台支持可视化的协议适配脚本配置工具，完成现有协议的统一配置工具框架开发，初步兼容上下行配置，并能对简单厂家协议进行统一配置。通过协议配置管理可解决厂家协议的快速对接，实现物联网设备的快速接入。</w:t>
            </w:r>
            <w:r>
              <w:rPr>
                <w:rFonts w:hint="eastAsia" w:ascii="Times New Roman" w:hAnsi="Times New Roman" w:cs="Times New Roman"/>
              </w:rPr>
              <w:br w:type="textWrapping"/>
            </w:r>
            <w:r>
              <w:rPr>
                <w:rFonts w:hint="eastAsia" w:ascii="Times New Roman" w:hAnsi="Times New Roman" w:cs="Times New Roman"/>
              </w:rPr>
              <w:t>2.支持以HTTP、MQTT、TCP、UDP为基础的协议配置</w:t>
            </w:r>
            <w:r>
              <w:rPr>
                <w:rFonts w:hint="eastAsia" w:ascii="Times New Roman" w:hAnsi="Times New Roman" w:cs="Times New Roman"/>
              </w:rPr>
              <w:br w:type="textWrapping"/>
            </w:r>
            <w:r>
              <w:rPr>
                <w:rFonts w:hint="eastAsia" w:ascii="Times New Roman" w:hAnsi="Times New Roman" w:cs="Times New Roman"/>
              </w:rPr>
              <w:t>3.支持对创建的协议进行在线报文模拟，模拟结果在界面进行呈现</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19</w:t>
            </w:r>
          </w:p>
        </w:tc>
        <w:tc>
          <w:tcPr>
            <w:tcW w:w="1145" w:type="dxa"/>
            <w:vMerge w:val="restart"/>
            <w:tcBorders>
              <w:top w:val="nil"/>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lang w:eastAsia="zh-CN"/>
              </w:rPr>
              <w:t xml:space="preserve"> </w:t>
            </w:r>
            <w:r>
              <w:rPr>
                <w:rFonts w:hint="eastAsia" w:ascii="Times New Roman" w:hAnsi="Times New Roman" w:cs="Times New Roman"/>
              </w:rPr>
              <w:t>视频门禁管理</w:t>
            </w: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基本配置</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配置视频门禁的基本配置,包含设备型号、视频门禁URL地址、视频门禁端口号、用户名及密码。</w:t>
            </w:r>
          </w:p>
        </w:tc>
      </w:tr>
      <w:tr>
        <w:tblPrEx>
          <w:tblCellMar>
            <w:top w:w="0" w:type="dxa"/>
            <w:left w:w="108" w:type="dxa"/>
            <w:bottom w:w="0" w:type="dxa"/>
            <w:right w:w="108"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20</w:t>
            </w:r>
          </w:p>
        </w:tc>
        <w:tc>
          <w:tcPr>
            <w:tcW w:w="1145" w:type="dxa"/>
            <w:vMerge w:val="continue"/>
            <w:tcBorders>
              <w:top w:val="nil"/>
              <w:left w:val="single" w:color="000000" w:sz="4" w:space="0"/>
              <w:bottom w:val="single" w:color="000000" w:sz="4" w:space="0"/>
              <w:right w:val="single" w:color="000000"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视频设备</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1.通过基本配置的参数同步视频信息并进行呈现。</w:t>
            </w:r>
            <w:r>
              <w:rPr>
                <w:rFonts w:hint="eastAsia" w:ascii="Times New Roman" w:hAnsi="Times New Roman" w:cs="Times New Roman"/>
              </w:rPr>
              <w:br w:type="textWrapping"/>
            </w:r>
            <w:r>
              <w:rPr>
                <w:rFonts w:hint="eastAsia" w:ascii="Times New Roman" w:hAnsi="Times New Roman" w:cs="Times New Roman"/>
              </w:rPr>
              <w:t>2.支持界面配置实现视频设备与站点的关联关系。</w:t>
            </w:r>
            <w:r>
              <w:rPr>
                <w:rFonts w:hint="eastAsia" w:ascii="Times New Roman" w:hAnsi="Times New Roman" w:cs="Times New Roman"/>
              </w:rPr>
              <w:br w:type="textWrapping"/>
            </w:r>
            <w:r>
              <w:rPr>
                <w:rFonts w:hint="eastAsia" w:ascii="Times New Roman" w:hAnsi="Times New Roman" w:cs="Times New Roman"/>
              </w:rPr>
              <w:t>3.支持视频设备的实时监控视频播放以及历史视频的回放</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21</w:t>
            </w:r>
          </w:p>
        </w:tc>
        <w:tc>
          <w:tcPr>
            <w:tcW w:w="1145" w:type="dxa"/>
            <w:vMerge w:val="continue"/>
            <w:tcBorders>
              <w:top w:val="nil"/>
              <w:left w:val="single" w:color="000000" w:sz="4" w:space="0"/>
              <w:bottom w:val="single" w:color="000000" w:sz="4" w:space="0"/>
              <w:right w:val="single" w:color="000000"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分屏展示</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支持根据不同站点信息查看关联站点下的实时视频以及历史视频。</w:t>
            </w:r>
          </w:p>
        </w:tc>
      </w:tr>
      <w:tr>
        <w:tblPrEx>
          <w:tblCellMar>
            <w:top w:w="0" w:type="dxa"/>
            <w:left w:w="108" w:type="dxa"/>
            <w:bottom w:w="0" w:type="dxa"/>
            <w:right w:w="108"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22</w:t>
            </w:r>
          </w:p>
        </w:tc>
        <w:tc>
          <w:tcPr>
            <w:tcW w:w="1145" w:type="dxa"/>
            <w:vMerge w:val="continue"/>
            <w:tcBorders>
              <w:top w:val="nil"/>
              <w:left w:val="single" w:color="000000" w:sz="4" w:space="0"/>
              <w:bottom w:val="single" w:color="000000" w:sz="4" w:space="0"/>
              <w:right w:val="single" w:color="000000" w:sz="4" w:space="0"/>
            </w:tcBorders>
            <w:vAlign w:val="center"/>
          </w:tcPr>
          <w:p>
            <w:pPr>
              <w:bidi w:val="0"/>
              <w:ind w:left="0" w:leftChars="0" w:firstLine="0" w:firstLineChars="0"/>
              <w:rPr>
                <w:rFonts w:hint="eastAsia" w:ascii="Times New Roman" w:hAnsi="Times New Roman" w:cs="Times New Roman"/>
              </w:rPr>
            </w:pPr>
          </w:p>
        </w:tc>
        <w:tc>
          <w:tcPr>
            <w:tcW w:w="1089" w:type="dxa"/>
            <w:tcBorders>
              <w:top w:val="nil"/>
              <w:left w:val="nil"/>
              <w:bottom w:val="single" w:color="000000" w:sz="4" w:space="0"/>
              <w:right w:val="single" w:color="000000"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门禁设备</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1.通过基本配置的参数同步视频信息并进行呈现。</w:t>
            </w:r>
            <w:r>
              <w:rPr>
                <w:rFonts w:hint="eastAsia" w:ascii="Times New Roman" w:hAnsi="Times New Roman" w:cs="Times New Roman"/>
              </w:rPr>
              <w:br w:type="textWrapping"/>
            </w:r>
            <w:r>
              <w:rPr>
                <w:rFonts w:hint="eastAsia" w:ascii="Times New Roman" w:hAnsi="Times New Roman" w:cs="Times New Roman"/>
              </w:rPr>
              <w:t>2.支持界面配置实现门禁设备与站点的关联关系</w:t>
            </w:r>
            <w:r>
              <w:rPr>
                <w:rFonts w:hint="eastAsia" w:ascii="Times New Roman" w:hAnsi="Times New Roman" w:cs="Times New Roman"/>
              </w:rPr>
              <w:br w:type="textWrapping"/>
            </w:r>
            <w:r>
              <w:rPr>
                <w:rFonts w:hint="eastAsia" w:ascii="Times New Roman" w:hAnsi="Times New Roman" w:cs="Times New Roman"/>
              </w:rPr>
              <w:t>2.支持门禁设备的远程开关门下控</w:t>
            </w:r>
            <w:r>
              <w:rPr>
                <w:rFonts w:hint="eastAsia" w:ascii="Times New Roman" w:hAnsi="Times New Roman" w:cs="Times New Roman"/>
              </w:rPr>
              <w:br w:type="textWrapping"/>
            </w:r>
            <w:r>
              <w:rPr>
                <w:rFonts w:hint="eastAsia" w:ascii="Times New Roman" w:hAnsi="Times New Roman" w:cs="Times New Roman"/>
              </w:rPr>
              <w:t>4.支持门禁设备操作日志的查询与导出</w:t>
            </w:r>
          </w:p>
        </w:tc>
      </w:tr>
      <w:tr>
        <w:tblPrEx>
          <w:tblCellMar>
            <w:top w:w="0" w:type="dxa"/>
            <w:left w:w="108" w:type="dxa"/>
            <w:bottom w:w="0" w:type="dxa"/>
            <w:right w:w="108" w:type="dxa"/>
          </w:tblCellMar>
        </w:tblPrEx>
        <w:trPr>
          <w:trHeight w:val="276"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23</w:t>
            </w:r>
          </w:p>
        </w:tc>
        <w:tc>
          <w:tcPr>
            <w:tcW w:w="1145" w:type="dxa"/>
            <w:tcBorders>
              <w:top w:val="single" w:color="auto" w:sz="4" w:space="0"/>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数据API服务</w:t>
            </w:r>
          </w:p>
        </w:tc>
        <w:tc>
          <w:tcPr>
            <w:tcW w:w="1089" w:type="dxa"/>
            <w:tcBorders>
              <w:top w:val="single" w:color="auto" w:sz="4" w:space="0"/>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数据API服务</w:t>
            </w:r>
          </w:p>
        </w:tc>
        <w:tc>
          <w:tcPr>
            <w:tcW w:w="5871" w:type="dxa"/>
            <w:tcBorders>
              <w:top w:val="nil"/>
              <w:left w:val="nil"/>
              <w:bottom w:val="single" w:color="auto" w:sz="4" w:space="0"/>
              <w:right w:val="single" w:color="auto" w:sz="4" w:space="0"/>
            </w:tcBorders>
            <w:shd w:val="clear" w:color="auto" w:fill="auto"/>
            <w:vAlign w:val="center"/>
          </w:tcPr>
          <w:p>
            <w:pPr>
              <w:bidi w:val="0"/>
              <w:ind w:left="0" w:leftChars="0" w:firstLine="0" w:firstLineChars="0"/>
              <w:rPr>
                <w:rFonts w:hint="eastAsia" w:ascii="Times New Roman" w:hAnsi="Times New Roman" w:cs="Times New Roman"/>
              </w:rPr>
            </w:pPr>
            <w:r>
              <w:rPr>
                <w:rFonts w:hint="eastAsia" w:ascii="Times New Roman" w:hAnsi="Times New Roman" w:cs="Times New Roman"/>
              </w:rPr>
              <w:t>平台整合了分散、无序、多协议的的各类生产运行数据和服务能力的接口，实现统一的数据API接口</w:t>
            </w:r>
          </w:p>
        </w:tc>
      </w:tr>
    </w:tbl>
    <w:p>
      <w:pPr>
        <w:pStyle w:val="5"/>
        <w:bidi w:val="0"/>
        <w:rPr>
          <w:rFonts w:hint="eastAsia" w:ascii="Times New Roman" w:hAnsi="Times New Roman" w:cs="Times New Roman"/>
          <w:color w:val="FF0000"/>
          <w:lang w:val="en-US" w:eastAsia="zh-CN"/>
        </w:rPr>
      </w:pPr>
      <w:r>
        <w:rPr>
          <w:rFonts w:hint="default" w:cs="Times New Roman"/>
          <w:color w:val="FF0000"/>
          <w:lang w:val="en-US" w:eastAsia="zh-CN"/>
        </w:rPr>
        <w:t>1.2</w:t>
      </w:r>
      <w:r>
        <w:rPr>
          <w:rFonts w:hint="eastAsia" w:ascii="Times New Roman" w:hAnsi="Times New Roman" w:cs="Times New Roman"/>
          <w:color w:val="FF0000"/>
          <w:lang w:val="en-US" w:eastAsia="zh-CN"/>
        </w:rPr>
        <w:t>供水地理信息系统（GIS）系统</w:t>
      </w:r>
      <w:r>
        <w:rPr>
          <w:rFonts w:hint="eastAsia"/>
          <w:color w:val="FF0000"/>
          <w:lang w:val="en-US" w:eastAsia="zh-CN"/>
        </w:rPr>
        <w:t>——</w:t>
      </w:r>
      <w:r>
        <w:rPr>
          <w:rFonts w:hint="eastAsia" w:ascii="宋体" w:hAnsi="宋体" w:cs="宋体"/>
          <w:color w:val="FF0000"/>
          <w:kern w:val="0"/>
          <w:szCs w:val="21"/>
          <w:lang w:val="en-US" w:eastAsia="zh-CN"/>
        </w:rPr>
        <w:t>技术标准和要求</w:t>
      </w:r>
    </w:p>
    <w:p>
      <w:pPr>
        <w:keepNext w:val="0"/>
        <w:keepLines w:val="0"/>
        <w:pageBreakBefore w:val="0"/>
        <w:widowControl w:val="0"/>
        <w:kinsoku/>
        <w:wordWrap/>
        <w:overflowPunct/>
        <w:topLinePunct w:val="0"/>
        <w:autoSpaceDE/>
        <w:autoSpaceDN/>
        <w:bidi w:val="0"/>
        <w:adjustRightInd/>
        <w:snapToGrid/>
        <w:ind w:firstLine="883"/>
        <w:textAlignment w:val="auto"/>
        <w:rPr>
          <w:rFonts w:hint="eastAsia" w:ascii="Times New Roman" w:hAnsi="Times New Roman" w:cs="Times New Roman"/>
          <w:lang w:eastAsia="zh-CN"/>
        </w:rPr>
      </w:pPr>
      <w:r>
        <w:rPr>
          <w:rFonts w:hint="eastAsia" w:ascii="Times New Roman" w:hAnsi="Times New Roman" w:cs="Times New Roman"/>
          <w:lang w:eastAsia="zh-CN"/>
        </w:rPr>
        <w:t>用企业门户的方式进行架构和设计，提供给企业网（Intranet）内部授权用户使用，这些用户除不能对管网信息进行修改外，其他应用功能均可使用。用户通过单点登录的方式，经过授权系统对用户权限审核和授权，提供相关的业务功能组合，满足水务公司日常管网管理工作需求。</w:t>
      </w:r>
    </w:p>
    <w:tbl>
      <w:tblPr>
        <w:tblStyle w:val="9"/>
        <w:tblW w:w="5000" w:type="pct"/>
        <w:tblInd w:w="0" w:type="dxa"/>
        <w:tblLayout w:type="autofit"/>
        <w:tblCellMar>
          <w:top w:w="0" w:type="dxa"/>
          <w:left w:w="0" w:type="dxa"/>
          <w:bottom w:w="0" w:type="dxa"/>
          <w:right w:w="0" w:type="dxa"/>
        </w:tblCellMar>
      </w:tblPr>
      <w:tblGrid>
        <w:gridCol w:w="777"/>
        <w:gridCol w:w="1409"/>
        <w:gridCol w:w="1319"/>
        <w:gridCol w:w="4831"/>
      </w:tblGrid>
      <w:tr>
        <w:tblPrEx>
          <w:tblCellMar>
            <w:top w:w="0" w:type="dxa"/>
            <w:left w:w="0" w:type="dxa"/>
            <w:bottom w:w="0" w:type="dxa"/>
            <w:right w:w="0" w:type="dxa"/>
          </w:tblCellMar>
        </w:tblPrEx>
        <w:trPr>
          <w:trHeight w:val="285" w:hRule="atLeast"/>
        </w:trPr>
        <w:tc>
          <w:tcPr>
            <w:tcW w:w="466" w:type="pct"/>
            <w:tcBorders>
              <w:top w:val="single" w:color="000000" w:sz="4" w:space="0"/>
              <w:left w:val="single" w:color="000000" w:sz="4" w:space="0"/>
              <w:bottom w:val="single" w:color="000000" w:sz="4" w:space="0"/>
              <w:right w:val="single" w:color="000000" w:sz="4" w:space="0"/>
            </w:tcBorders>
            <w:shd w:val="clear" w:color="auto" w:fill="F2F2F2"/>
            <w:tcMar>
              <w:top w:w="15" w:type="dxa"/>
              <w:left w:w="15" w:type="dxa"/>
              <w:bottom w:w="0" w:type="dxa"/>
              <w:right w:w="15" w:type="dxa"/>
            </w:tcMar>
            <w:vAlign w:val="center"/>
          </w:tcPr>
          <w:p>
            <w:pPr>
              <w:bidi w:val="0"/>
              <w:ind w:left="0" w:leftChars="0" w:firstLine="0" w:firstLineChars="0"/>
            </w:pPr>
            <w:r>
              <w:rPr>
                <w:rFonts w:hint="eastAsia"/>
              </w:rPr>
              <w:t>序号</w:t>
            </w:r>
          </w:p>
        </w:tc>
        <w:tc>
          <w:tcPr>
            <w:tcW w:w="845" w:type="pct"/>
            <w:tcBorders>
              <w:top w:val="single" w:color="000000" w:sz="4" w:space="0"/>
              <w:left w:val="single" w:color="000000" w:sz="4" w:space="0"/>
              <w:bottom w:val="single" w:color="000000" w:sz="4" w:space="0"/>
              <w:right w:val="single" w:color="000000" w:sz="4" w:space="0"/>
            </w:tcBorders>
            <w:shd w:val="clear" w:color="auto" w:fill="F2F2F2"/>
            <w:tcMar>
              <w:top w:w="15" w:type="dxa"/>
              <w:left w:w="15" w:type="dxa"/>
              <w:bottom w:w="0" w:type="dxa"/>
              <w:right w:w="15" w:type="dxa"/>
            </w:tcMar>
            <w:vAlign w:val="center"/>
          </w:tcPr>
          <w:p>
            <w:pPr>
              <w:bidi w:val="0"/>
              <w:ind w:left="0" w:leftChars="0" w:firstLine="0" w:firstLineChars="0"/>
            </w:pPr>
            <w:r>
              <w:rPr>
                <w:rFonts w:hint="eastAsia"/>
              </w:rPr>
              <w:t>一级模块</w:t>
            </w:r>
          </w:p>
        </w:tc>
        <w:tc>
          <w:tcPr>
            <w:tcW w:w="791" w:type="pct"/>
            <w:tcBorders>
              <w:top w:val="single" w:color="000000" w:sz="4" w:space="0"/>
              <w:left w:val="single" w:color="000000" w:sz="4" w:space="0"/>
              <w:bottom w:val="single" w:color="000000" w:sz="4" w:space="0"/>
              <w:right w:val="single" w:color="000000" w:sz="4" w:space="0"/>
            </w:tcBorders>
            <w:shd w:val="clear" w:color="auto" w:fill="F2F2F2"/>
            <w:tcMar>
              <w:top w:w="15" w:type="dxa"/>
              <w:left w:w="15" w:type="dxa"/>
              <w:bottom w:w="0" w:type="dxa"/>
              <w:right w:w="15" w:type="dxa"/>
            </w:tcMar>
            <w:vAlign w:val="center"/>
          </w:tcPr>
          <w:p>
            <w:pPr>
              <w:bidi w:val="0"/>
              <w:ind w:left="0" w:leftChars="0" w:firstLine="0" w:firstLineChars="0"/>
            </w:pPr>
            <w:r>
              <w:rPr>
                <w:rFonts w:hint="eastAsia"/>
              </w:rPr>
              <w:t>二级模块</w:t>
            </w:r>
          </w:p>
        </w:tc>
        <w:tc>
          <w:tcPr>
            <w:tcW w:w="2897" w:type="pct"/>
            <w:tcBorders>
              <w:top w:val="single" w:color="000000" w:sz="4" w:space="0"/>
              <w:left w:val="single" w:color="000000" w:sz="4" w:space="0"/>
              <w:bottom w:val="single" w:color="000000" w:sz="4" w:space="0"/>
              <w:right w:val="single" w:color="000000" w:sz="4" w:space="0"/>
            </w:tcBorders>
            <w:shd w:val="clear" w:color="auto" w:fill="F2F2F2"/>
            <w:tcMar>
              <w:top w:w="15" w:type="dxa"/>
              <w:left w:w="15" w:type="dxa"/>
              <w:bottom w:w="0" w:type="dxa"/>
              <w:right w:w="15" w:type="dxa"/>
            </w:tcMar>
            <w:vAlign w:val="center"/>
          </w:tcPr>
          <w:p>
            <w:pPr>
              <w:bidi w:val="0"/>
            </w:pPr>
            <w:r>
              <w:rPr>
                <w:rFonts w:hint="eastAsia"/>
              </w:rPr>
              <w:t>功能描述</w:t>
            </w:r>
          </w:p>
        </w:tc>
      </w:tr>
      <w:tr>
        <w:tblPrEx>
          <w:tblCellMar>
            <w:top w:w="0" w:type="dxa"/>
            <w:left w:w="0" w:type="dxa"/>
            <w:bottom w:w="0" w:type="dxa"/>
            <w:right w:w="0" w:type="dxa"/>
          </w:tblCellMar>
        </w:tblPrEx>
        <w:trPr>
          <w:trHeight w:val="570" w:hRule="atLeast"/>
        </w:trPr>
        <w:tc>
          <w:tcPr>
            <w:tcW w:w="466"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w:t>
            </w:r>
          </w:p>
        </w:tc>
        <w:tc>
          <w:tcPr>
            <w:tcW w:w="845" w:type="pct"/>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平台门户</w:t>
            </w:r>
          </w:p>
        </w:tc>
        <w:tc>
          <w:tcPr>
            <w:tcW w:w="791"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服务中心</w:t>
            </w:r>
          </w:p>
        </w:tc>
        <w:tc>
          <w:tcPr>
            <w:tcW w:w="2897"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提供服务平台产品定位、产品特色、适用平台、数据管理、数据可视化、专题图层等介绍；</w:t>
            </w:r>
          </w:p>
        </w:tc>
      </w:tr>
      <w:tr>
        <w:tblPrEx>
          <w:tblCellMar>
            <w:top w:w="0" w:type="dxa"/>
            <w:left w:w="0" w:type="dxa"/>
            <w:bottom w:w="0" w:type="dxa"/>
            <w:right w:w="0" w:type="dxa"/>
          </w:tblCellMar>
        </w:tblPrEx>
        <w:trPr>
          <w:trHeight w:val="285" w:hRule="atLeast"/>
        </w:trPr>
        <w:tc>
          <w:tcPr>
            <w:tcW w:w="466"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w:t>
            </w:r>
          </w:p>
        </w:tc>
        <w:tc>
          <w:tcPr>
            <w:tcW w:w="845"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jc w:val="center"/>
              <w:rPr>
                <w:rFonts w:hint="eastAsia"/>
              </w:rPr>
            </w:pPr>
          </w:p>
        </w:tc>
        <w:tc>
          <w:tcPr>
            <w:tcW w:w="791"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开发文档</w:t>
            </w:r>
          </w:p>
        </w:tc>
        <w:tc>
          <w:tcPr>
            <w:tcW w:w="2897"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提供地图、网页端、手机端、服务等API服务接口说明；</w:t>
            </w:r>
          </w:p>
        </w:tc>
      </w:tr>
      <w:tr>
        <w:tblPrEx>
          <w:tblCellMar>
            <w:top w:w="0" w:type="dxa"/>
            <w:left w:w="0" w:type="dxa"/>
            <w:bottom w:w="0" w:type="dxa"/>
            <w:right w:w="0" w:type="dxa"/>
          </w:tblCellMar>
        </w:tblPrEx>
        <w:trPr>
          <w:trHeight w:val="285" w:hRule="atLeast"/>
        </w:trPr>
        <w:tc>
          <w:tcPr>
            <w:tcW w:w="466"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w:t>
            </w:r>
          </w:p>
        </w:tc>
        <w:tc>
          <w:tcPr>
            <w:tcW w:w="845"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jc w:val="center"/>
              <w:rPr>
                <w:rFonts w:hint="eastAsia"/>
              </w:rPr>
            </w:pPr>
          </w:p>
        </w:tc>
        <w:tc>
          <w:tcPr>
            <w:tcW w:w="791"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专题频道</w:t>
            </w:r>
          </w:p>
        </w:tc>
        <w:tc>
          <w:tcPr>
            <w:tcW w:w="2897"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提供供水分区、压力分区、管网事件专题介绍；</w:t>
            </w:r>
          </w:p>
        </w:tc>
      </w:tr>
      <w:tr>
        <w:tblPrEx>
          <w:tblCellMar>
            <w:top w:w="0" w:type="dxa"/>
            <w:left w:w="0" w:type="dxa"/>
            <w:bottom w:w="0" w:type="dxa"/>
            <w:right w:w="0" w:type="dxa"/>
          </w:tblCellMar>
        </w:tblPrEx>
        <w:trPr>
          <w:trHeight w:val="570" w:hRule="atLeast"/>
        </w:trPr>
        <w:tc>
          <w:tcPr>
            <w:tcW w:w="466"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4</w:t>
            </w:r>
          </w:p>
        </w:tc>
        <w:tc>
          <w:tcPr>
            <w:tcW w:w="845" w:type="pct"/>
            <w:vMerge w:val="continue"/>
            <w:tcBorders>
              <w:top w:val="single" w:color="000000" w:sz="4" w:space="0"/>
              <w:left w:val="single" w:color="000000" w:sz="4" w:space="0"/>
              <w:bottom w:val="single" w:color="auto" w:sz="4" w:space="0"/>
              <w:right w:val="single" w:color="000000" w:sz="4" w:space="0"/>
            </w:tcBorders>
            <w:vAlign w:val="center"/>
          </w:tcPr>
          <w:p>
            <w:pPr>
              <w:bidi w:val="0"/>
              <w:ind w:left="0" w:leftChars="0" w:firstLine="0" w:firstLineChars="0"/>
              <w:jc w:val="center"/>
              <w:rPr>
                <w:rFonts w:hint="eastAsia"/>
              </w:rPr>
            </w:pPr>
          </w:p>
        </w:tc>
        <w:tc>
          <w:tcPr>
            <w:tcW w:w="791"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服务管理</w:t>
            </w:r>
          </w:p>
        </w:tc>
        <w:tc>
          <w:tcPr>
            <w:tcW w:w="2897"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提供GIS服务管理器、地图应用方案管理模块；集GIS服务配置、发布、地图应用于一体，实现快速服务部署。</w:t>
            </w:r>
          </w:p>
        </w:tc>
      </w:tr>
      <w:tr>
        <w:tblPrEx>
          <w:tblCellMar>
            <w:top w:w="0" w:type="dxa"/>
            <w:left w:w="0" w:type="dxa"/>
            <w:bottom w:w="0" w:type="dxa"/>
            <w:right w:w="0" w:type="dxa"/>
          </w:tblCellMar>
        </w:tblPrEx>
        <w:trPr>
          <w:trHeight w:val="855" w:hRule="atLeast"/>
        </w:trPr>
        <w:tc>
          <w:tcPr>
            <w:tcW w:w="466" w:type="pct"/>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5</w:t>
            </w:r>
          </w:p>
        </w:tc>
        <w:tc>
          <w:tcPr>
            <w:tcW w:w="845"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lang w:eastAsia="zh-CN"/>
              </w:rPr>
              <w:t xml:space="preserve"> </w:t>
            </w:r>
            <w:r>
              <w:rPr>
                <w:rFonts w:hint="eastAsia"/>
              </w:rPr>
              <w:t>GIS服务管理器</w:t>
            </w:r>
          </w:p>
        </w:tc>
        <w:tc>
          <w:tcPr>
            <w:tcW w:w="791" w:type="pct"/>
            <w:tcBorders>
              <w:top w:val="single" w:color="000000" w:sz="4" w:space="0"/>
              <w:left w:val="single" w:color="auto"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服务器管理</w:t>
            </w:r>
          </w:p>
        </w:tc>
        <w:tc>
          <w:tcPr>
            <w:tcW w:w="2897"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支持服务器连接信息新增、修改、删除、查看；包括服务器名称、租户/组织、服务器标识、域名/IP、服务器端口等内容；</w:t>
            </w:r>
          </w:p>
        </w:tc>
      </w:tr>
      <w:tr>
        <w:tblPrEx>
          <w:tblCellMar>
            <w:top w:w="0" w:type="dxa"/>
            <w:left w:w="0" w:type="dxa"/>
            <w:bottom w:w="0" w:type="dxa"/>
            <w:right w:w="0" w:type="dxa"/>
          </w:tblCellMar>
        </w:tblPrEx>
        <w:trPr>
          <w:trHeight w:val="90" w:hRule="atLeast"/>
        </w:trPr>
        <w:tc>
          <w:tcPr>
            <w:tcW w:w="466" w:type="pct"/>
            <w:tcBorders>
              <w:top w:val="single" w:color="000000" w:sz="4" w:space="0"/>
              <w:left w:val="single" w:color="000000" w:sz="4" w:space="0"/>
              <w:bottom w:val="single" w:color="000000" w:sz="4" w:space="0"/>
              <w:right w:val="single" w:color="auto" w:sz="4" w:space="0"/>
            </w:tcBorders>
            <w:tcMar>
              <w:top w:w="15" w:type="dxa"/>
              <w:left w:w="15" w:type="dxa"/>
              <w:bottom w:w="0" w:type="dxa"/>
              <w:right w:w="15" w:type="dxa"/>
            </w:tcMar>
            <w:vAlign w:val="center"/>
          </w:tcPr>
          <w:p>
            <w:pPr>
              <w:bidi w:val="0"/>
              <w:ind w:left="0" w:leftChars="0" w:firstLine="0" w:firstLineChars="0"/>
              <w:jc w:val="center"/>
              <w:rPr>
                <w:rFonts w:hint="eastAsia"/>
              </w:rPr>
            </w:pPr>
          </w:p>
        </w:tc>
        <w:tc>
          <w:tcPr>
            <w:tcW w:w="845"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bidi w:val="0"/>
              <w:ind w:left="0" w:leftChars="0" w:firstLine="0" w:firstLineChars="0"/>
              <w:jc w:val="center"/>
              <w:rPr>
                <w:rFonts w:hint="eastAsia"/>
                <w:lang w:val="en-US" w:eastAsia="zh-CN"/>
              </w:rPr>
            </w:pPr>
            <w:r>
              <w:rPr>
                <w:rFonts w:hint="eastAsia"/>
                <w:lang w:eastAsia="zh-CN"/>
              </w:rPr>
              <w:t xml:space="preserve"> </w:t>
            </w:r>
            <w:r>
              <w:rPr>
                <w:rFonts w:hint="eastAsia"/>
              </w:rPr>
              <w:t>地图应用方案</w:t>
            </w:r>
          </w:p>
        </w:tc>
        <w:tc>
          <w:tcPr>
            <w:tcW w:w="791" w:type="pct"/>
            <w:tcBorders>
              <w:top w:val="single" w:color="000000" w:sz="4" w:space="0"/>
              <w:left w:val="single" w:color="auto"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lang w:val="en-US" w:eastAsia="zh-CN"/>
              </w:rPr>
            </w:pPr>
            <w:r>
              <w:rPr>
                <w:rFonts w:hint="eastAsia"/>
              </w:rPr>
              <w:t>地图方案管理</w:t>
            </w:r>
          </w:p>
        </w:tc>
        <w:tc>
          <w:tcPr>
            <w:tcW w:w="2897"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lang w:val="en-US" w:eastAsia="zh-CN"/>
              </w:rPr>
            </w:pPr>
            <w:r>
              <w:rPr>
                <w:rFonts w:hint="eastAsia"/>
              </w:rPr>
              <w:t>提供地图应用方案新增、编辑、删除、查询等功能；可实现租户配置、主题、坐标类型、地图配置、中心点、最小级别、初始级别、边界裁剪等初始化配置。</w:t>
            </w:r>
          </w:p>
        </w:tc>
      </w:tr>
    </w:tbl>
    <w:p>
      <w:pPr>
        <w:bidi w:val="0"/>
        <w:ind w:left="0" w:leftChars="0" w:firstLine="0" w:firstLineChars="0"/>
        <w:rPr>
          <w:rFonts w:hint="eastAsia"/>
          <w:lang w:eastAsia="zh-CN"/>
        </w:rPr>
      </w:pPr>
    </w:p>
    <w:tbl>
      <w:tblPr>
        <w:tblStyle w:val="9"/>
        <w:tblW w:w="5157" w:type="pct"/>
        <w:tblInd w:w="0" w:type="dxa"/>
        <w:tblLayout w:type="fixed"/>
        <w:tblCellMar>
          <w:top w:w="0" w:type="dxa"/>
          <w:left w:w="0" w:type="dxa"/>
          <w:bottom w:w="0" w:type="dxa"/>
          <w:right w:w="0" w:type="dxa"/>
        </w:tblCellMar>
      </w:tblPr>
      <w:tblGrid>
        <w:gridCol w:w="515"/>
        <w:gridCol w:w="1034"/>
        <w:gridCol w:w="1400"/>
        <w:gridCol w:w="5649"/>
      </w:tblGrid>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shd w:val="clear" w:color="auto" w:fill="F2F2F2"/>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序号</w:t>
            </w:r>
          </w:p>
        </w:tc>
        <w:tc>
          <w:tcPr>
            <w:tcW w:w="601" w:type="pct"/>
            <w:tcBorders>
              <w:top w:val="single" w:color="000000" w:sz="4" w:space="0"/>
              <w:left w:val="single" w:color="000000" w:sz="4" w:space="0"/>
              <w:bottom w:val="single" w:color="000000" w:sz="4" w:space="0"/>
              <w:right w:val="single" w:color="000000" w:sz="4" w:space="0"/>
            </w:tcBorders>
            <w:shd w:val="clear" w:color="auto" w:fill="F2F2F2"/>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功能模块</w:t>
            </w:r>
          </w:p>
        </w:tc>
        <w:tc>
          <w:tcPr>
            <w:tcW w:w="814" w:type="pct"/>
            <w:tcBorders>
              <w:top w:val="single" w:color="000000" w:sz="4" w:space="0"/>
              <w:left w:val="single" w:color="000000" w:sz="4" w:space="0"/>
              <w:bottom w:val="single" w:color="000000" w:sz="4" w:space="0"/>
              <w:right w:val="single" w:color="000000" w:sz="4" w:space="0"/>
            </w:tcBorders>
            <w:shd w:val="clear" w:color="auto" w:fill="F2F2F2"/>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子模块</w:t>
            </w:r>
          </w:p>
        </w:tc>
        <w:tc>
          <w:tcPr>
            <w:tcW w:w="3285" w:type="pct"/>
            <w:tcBorders>
              <w:top w:val="single" w:color="000000" w:sz="4" w:space="0"/>
              <w:left w:val="single" w:color="000000" w:sz="4" w:space="0"/>
              <w:bottom w:val="single" w:color="000000" w:sz="4" w:space="0"/>
              <w:right w:val="single" w:color="000000" w:sz="4" w:space="0"/>
            </w:tcBorders>
            <w:shd w:val="clear" w:color="auto" w:fill="F2F2F2"/>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描述</w:t>
            </w:r>
          </w:p>
        </w:tc>
      </w:tr>
      <w:tr>
        <w:tblPrEx>
          <w:tblCellMar>
            <w:top w:w="0" w:type="dxa"/>
            <w:left w:w="0" w:type="dxa"/>
            <w:bottom w:w="0" w:type="dxa"/>
            <w:right w:w="0" w:type="dxa"/>
          </w:tblCellMar>
        </w:tblPrEx>
        <w:trPr>
          <w:trHeight w:val="549"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w:t>
            </w:r>
          </w:p>
        </w:tc>
        <w:tc>
          <w:tcPr>
            <w:tcW w:w="601" w:type="pct"/>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地图视图</w:t>
            </w: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地图浏览</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提供地图放大、缩小，地图移动，调整视角，复位视角、复位范围、地图全屏等；</w:t>
            </w:r>
          </w:p>
        </w:tc>
      </w:tr>
      <w:tr>
        <w:tblPrEx>
          <w:tblCellMar>
            <w:top w:w="0" w:type="dxa"/>
            <w:left w:w="0" w:type="dxa"/>
            <w:bottom w:w="0" w:type="dxa"/>
            <w:right w:w="0" w:type="dxa"/>
          </w:tblCellMar>
        </w:tblPrEx>
        <w:trPr>
          <w:trHeight w:val="85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图层控制</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管网设备分层显示，不同的设备类型使用行业表准的地图符号显示，可显示管线的口径、材质的注记信息，可对设备图层进行显示、隐藏的开关控制。</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底图切换</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支持底图切换，支持根据底图动态投影管网</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4</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互联网地图接入</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支持百度地图、高德地图、天地图作为底图接入</w:t>
            </w:r>
          </w:p>
        </w:tc>
      </w:tr>
      <w:tr>
        <w:tblPrEx>
          <w:tblCellMar>
            <w:top w:w="0" w:type="dxa"/>
            <w:left w:w="0" w:type="dxa"/>
            <w:bottom w:w="0" w:type="dxa"/>
            <w:right w:w="0" w:type="dxa"/>
          </w:tblCellMar>
        </w:tblPrEx>
        <w:trPr>
          <w:trHeight w:val="85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5</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地名搜索定位</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对接百度地图的地名和兴趣点搜索接口，能够搜索水司所在当地的地名地址和兴趣点，方便进行快速地图定位跳转。</w:t>
            </w:r>
          </w:p>
        </w:tc>
      </w:tr>
      <w:tr>
        <w:tblPrEx>
          <w:tblCellMar>
            <w:top w:w="0" w:type="dxa"/>
            <w:left w:w="0" w:type="dxa"/>
            <w:bottom w:w="0" w:type="dxa"/>
            <w:right w:w="0" w:type="dxa"/>
          </w:tblCellMar>
        </w:tblPrEx>
        <w:trPr>
          <w:trHeight w:val="114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6</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设备搜索</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按设备类型查询设备，支持常用设备搜索，方便用户快速操作，查询结果支持查看设备详情，设备详情支持查看设备多媒体图片信息、查看设备详细属性信息、以及快捷工具操作。</w:t>
            </w:r>
          </w:p>
        </w:tc>
      </w:tr>
      <w:tr>
        <w:tblPrEx>
          <w:tblCellMar>
            <w:top w:w="0" w:type="dxa"/>
            <w:left w:w="0" w:type="dxa"/>
            <w:bottom w:w="0" w:type="dxa"/>
            <w:right w:w="0" w:type="dxa"/>
          </w:tblCellMar>
        </w:tblPrEx>
        <w:trPr>
          <w:trHeight w:val="57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7</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坐标定位</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系统搜索框支持输入逗号分隔的坐标对直接进行地图定位跳转。</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8</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地图比例尺</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地图视图当前的比例尺显示。</w:t>
            </w:r>
          </w:p>
        </w:tc>
      </w:tr>
      <w:tr>
        <w:tblPrEx>
          <w:tblCellMar>
            <w:top w:w="0" w:type="dxa"/>
            <w:left w:w="0" w:type="dxa"/>
            <w:bottom w:w="0" w:type="dxa"/>
            <w:right w:w="0" w:type="dxa"/>
          </w:tblCellMar>
        </w:tblPrEx>
        <w:trPr>
          <w:trHeight w:val="57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9</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当地天气</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接入五天以内的当地天气预报，供用户作为供水的辅助参考信息。</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10</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坐标显示</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鼠标实时位置的坐标显示。</w:t>
            </w:r>
          </w:p>
        </w:tc>
      </w:tr>
      <w:tr>
        <w:tblPrEx>
          <w:tblCellMar>
            <w:top w:w="0" w:type="dxa"/>
            <w:left w:w="0" w:type="dxa"/>
            <w:bottom w:w="0" w:type="dxa"/>
            <w:right w:w="0" w:type="dxa"/>
          </w:tblCellMar>
        </w:tblPrEx>
        <w:trPr>
          <w:trHeight w:val="85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11</w:t>
            </w:r>
          </w:p>
        </w:tc>
        <w:tc>
          <w:tcPr>
            <w:tcW w:w="601" w:type="pct"/>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查询统计</w:t>
            </w: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点击查询</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鼠标能够在地图上点击选中设备，并显示设备详情，设备详情支持查看设备多媒体图片信息、查看设备详细属性信息、以及快捷工具操作。</w:t>
            </w:r>
          </w:p>
        </w:tc>
      </w:tr>
      <w:tr>
        <w:tblPrEx>
          <w:tblCellMar>
            <w:top w:w="0" w:type="dxa"/>
            <w:left w:w="0" w:type="dxa"/>
            <w:bottom w:w="0" w:type="dxa"/>
            <w:right w:w="0" w:type="dxa"/>
          </w:tblCellMar>
        </w:tblPrEx>
        <w:trPr>
          <w:trHeight w:val="85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12</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空间查询</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支持按照全区范围、当前范围、多边形范围、矩形范围查询选择的设备，查询结果以列表方式显示并支持对结果进行属性替换、二次查询及表格导出。</w:t>
            </w:r>
          </w:p>
        </w:tc>
      </w:tr>
      <w:tr>
        <w:tblPrEx>
          <w:tblCellMar>
            <w:top w:w="0" w:type="dxa"/>
            <w:left w:w="0" w:type="dxa"/>
            <w:bottom w:w="0" w:type="dxa"/>
            <w:right w:w="0" w:type="dxa"/>
          </w:tblCellMar>
        </w:tblPrEx>
        <w:trPr>
          <w:trHeight w:val="57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13</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分类查询</w:t>
            </w:r>
          </w:p>
        </w:tc>
        <w:tc>
          <w:tcPr>
            <w:tcW w:w="32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支持周边查询、快速查询、按位置查询、消防栓查询等查询功能</w:t>
            </w:r>
          </w:p>
        </w:tc>
      </w:tr>
      <w:tr>
        <w:tblPrEx>
          <w:tblCellMar>
            <w:top w:w="0" w:type="dxa"/>
            <w:left w:w="0" w:type="dxa"/>
            <w:bottom w:w="0" w:type="dxa"/>
            <w:right w:w="0" w:type="dxa"/>
          </w:tblCellMar>
        </w:tblPrEx>
        <w:trPr>
          <w:trHeight w:val="85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14</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汇总统计</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支持按照全区范围、当前范围、多边形范围、矩形范围进行设备数量，管段长度等信息的统计，统计结果支持导出</w:t>
            </w:r>
          </w:p>
        </w:tc>
      </w:tr>
      <w:tr>
        <w:tblPrEx>
          <w:tblCellMar>
            <w:top w:w="0" w:type="dxa"/>
            <w:left w:w="0" w:type="dxa"/>
            <w:bottom w:w="0" w:type="dxa"/>
            <w:right w:w="0" w:type="dxa"/>
          </w:tblCellMar>
        </w:tblPrEx>
        <w:trPr>
          <w:trHeight w:val="114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15</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nil"/>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通用统计</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支持按照全区范围、当前范围、多边形范围、矩形范围进行设备属性的统计，支持分组字段设置、统计字段设置，支持求和、计数等统计方式，统计结果支持以柱状图、折线图、表格等形式展示</w:t>
            </w:r>
          </w:p>
        </w:tc>
      </w:tr>
      <w:tr>
        <w:tblPrEx>
          <w:tblCellMar>
            <w:top w:w="0" w:type="dxa"/>
            <w:left w:w="0" w:type="dxa"/>
            <w:bottom w:w="0" w:type="dxa"/>
            <w:right w:w="0" w:type="dxa"/>
          </w:tblCellMar>
        </w:tblPrEx>
        <w:trPr>
          <w:trHeight w:val="753"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16</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分类统计</w:t>
            </w:r>
          </w:p>
        </w:tc>
        <w:tc>
          <w:tcPr>
            <w:tcW w:w="32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支持按口径统计阀门、按管材统计管长、管径统计管长、按道路统计设备、管长统计、设备个数统计等</w:t>
            </w:r>
          </w:p>
        </w:tc>
      </w:tr>
      <w:tr>
        <w:tblPrEx>
          <w:tblCellMar>
            <w:top w:w="0" w:type="dxa"/>
            <w:left w:w="0" w:type="dxa"/>
            <w:bottom w:w="0" w:type="dxa"/>
            <w:right w:w="0" w:type="dxa"/>
          </w:tblCellMar>
        </w:tblPrEx>
        <w:trPr>
          <w:trHeight w:val="753"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17</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nil"/>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管网资产总览</w:t>
            </w:r>
          </w:p>
        </w:tc>
        <w:tc>
          <w:tcPr>
            <w:tcW w:w="32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支持管网资产统计，以图表方式展示阀门口径，消防栓口径，管段管径、材质等信息综合展示</w:t>
            </w:r>
          </w:p>
        </w:tc>
      </w:tr>
      <w:tr>
        <w:tblPrEx>
          <w:tblCellMar>
            <w:top w:w="0" w:type="dxa"/>
            <w:left w:w="0" w:type="dxa"/>
            <w:bottom w:w="0" w:type="dxa"/>
            <w:right w:w="0" w:type="dxa"/>
          </w:tblCellMar>
        </w:tblPrEx>
        <w:trPr>
          <w:trHeight w:val="57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18</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用户挂接</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支持营收系统中的用水户信息与GIS设备关联挂接，支持批量挂接与解除挂接</w:t>
            </w:r>
          </w:p>
        </w:tc>
      </w:tr>
      <w:tr>
        <w:tblPrEx>
          <w:tblCellMar>
            <w:top w:w="0" w:type="dxa"/>
            <w:left w:w="0" w:type="dxa"/>
            <w:bottom w:w="0" w:type="dxa"/>
            <w:right w:w="0" w:type="dxa"/>
          </w:tblCellMar>
        </w:tblPrEx>
        <w:trPr>
          <w:trHeight w:val="85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19</w:t>
            </w:r>
          </w:p>
        </w:tc>
        <w:tc>
          <w:tcPr>
            <w:tcW w:w="601" w:type="pct"/>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lang w:eastAsia="zh-CN"/>
              </w:rPr>
              <w:t xml:space="preserve"> </w:t>
            </w:r>
            <w:r>
              <w:rPr>
                <w:rFonts w:hint="eastAsia"/>
              </w:rPr>
              <w:t>管网分析</w:t>
            </w: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爆管分析</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选择爆管位置，图形显示需关断设备，爆管发生点，受影响用户信息，同时以列表形式在右侧显示。支持查看受影响用户，支持发送停水通知等</w:t>
            </w:r>
          </w:p>
        </w:tc>
      </w:tr>
      <w:tr>
        <w:tblPrEx>
          <w:tblCellMar>
            <w:top w:w="0" w:type="dxa"/>
            <w:left w:w="0" w:type="dxa"/>
            <w:bottom w:w="0" w:type="dxa"/>
            <w:right w:w="0" w:type="dxa"/>
          </w:tblCellMar>
        </w:tblPrEx>
        <w:trPr>
          <w:trHeight w:val="699"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20</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横断面分析</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横断面分析视图，展示所在道路，埋深、标高、材质，口径、间距等信息</w:t>
            </w:r>
          </w:p>
        </w:tc>
      </w:tr>
      <w:tr>
        <w:tblPrEx>
          <w:tblCellMar>
            <w:top w:w="0" w:type="dxa"/>
            <w:left w:w="0" w:type="dxa"/>
            <w:bottom w:w="0" w:type="dxa"/>
            <w:right w:w="0" w:type="dxa"/>
          </w:tblCellMar>
        </w:tblPrEx>
        <w:trPr>
          <w:trHeight w:val="73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21</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纵断面分析</w:t>
            </w:r>
          </w:p>
        </w:tc>
        <w:tc>
          <w:tcPr>
            <w:tcW w:w="32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tcPr>
          <w:p>
            <w:pPr>
              <w:bidi w:val="0"/>
              <w:ind w:left="0" w:leftChars="0" w:firstLine="0" w:firstLineChars="0"/>
              <w:rPr>
                <w:rFonts w:hint="eastAsia"/>
              </w:rPr>
            </w:pPr>
            <w:r>
              <w:rPr>
                <w:rFonts w:hint="eastAsia"/>
              </w:rPr>
              <w:t>纵断面分析视图，展示管段名称、地面高程、管线高程、埋深等信息；</w:t>
            </w:r>
          </w:p>
        </w:tc>
      </w:tr>
      <w:tr>
        <w:tblPrEx>
          <w:tblCellMar>
            <w:top w:w="0" w:type="dxa"/>
            <w:left w:w="0" w:type="dxa"/>
            <w:bottom w:w="0" w:type="dxa"/>
            <w:right w:w="0" w:type="dxa"/>
          </w:tblCellMar>
        </w:tblPrEx>
        <w:trPr>
          <w:trHeight w:val="57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22</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连通分析</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支持管线上任意两点的连通性判断，并输出连同路径上的设备列表</w:t>
            </w:r>
          </w:p>
        </w:tc>
      </w:tr>
      <w:tr>
        <w:tblPrEx>
          <w:tblCellMar>
            <w:top w:w="0" w:type="dxa"/>
            <w:left w:w="0" w:type="dxa"/>
            <w:bottom w:w="0" w:type="dxa"/>
            <w:right w:w="0" w:type="dxa"/>
          </w:tblCellMar>
        </w:tblPrEx>
        <w:trPr>
          <w:trHeight w:val="57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23</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缓冲区分析</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支持按照点、线、多边形、矩形进行缓冲区分析，支持设置缓冲半径。</w:t>
            </w:r>
          </w:p>
        </w:tc>
      </w:tr>
      <w:tr>
        <w:tblPrEx>
          <w:tblCellMar>
            <w:top w:w="0" w:type="dxa"/>
            <w:left w:w="0" w:type="dxa"/>
            <w:bottom w:w="0" w:type="dxa"/>
            <w:right w:w="0" w:type="dxa"/>
          </w:tblCellMar>
        </w:tblPrEx>
        <w:trPr>
          <w:trHeight w:val="57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24</w:t>
            </w:r>
          </w:p>
        </w:tc>
        <w:tc>
          <w:tcPr>
            <w:tcW w:w="601" w:type="pct"/>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lang w:eastAsia="zh-CN"/>
              </w:rPr>
              <w:t xml:space="preserve"> </w:t>
            </w:r>
            <w:r>
              <w:rPr>
                <w:rFonts w:hint="eastAsia"/>
              </w:rPr>
              <w:t>专题展示</w:t>
            </w: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管线专题</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系统支持按口径、材质等属性设定管线颜色、管线粗细，展现管线专题</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25</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阀门专题</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支持阀门专题展示</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26</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消防栓专题</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支持消防栓专题展示</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27</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水表井专题</w:t>
            </w:r>
          </w:p>
        </w:tc>
        <w:tc>
          <w:tcPr>
            <w:tcW w:w="32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bottom"/>
          </w:tcPr>
          <w:p>
            <w:pPr>
              <w:bidi w:val="0"/>
              <w:ind w:left="0" w:leftChars="0" w:firstLine="0" w:firstLineChars="0"/>
              <w:rPr>
                <w:rFonts w:hint="eastAsia"/>
              </w:rPr>
            </w:pPr>
            <w:r>
              <w:rPr>
                <w:rFonts w:hint="eastAsia"/>
              </w:rPr>
              <w:t>支持水表井专题展示</w:t>
            </w:r>
          </w:p>
        </w:tc>
      </w:tr>
      <w:tr>
        <w:tblPrEx>
          <w:tblCellMar>
            <w:top w:w="0" w:type="dxa"/>
            <w:left w:w="0" w:type="dxa"/>
            <w:bottom w:w="0" w:type="dxa"/>
            <w:right w:w="0" w:type="dxa"/>
          </w:tblCellMar>
        </w:tblPrEx>
        <w:trPr>
          <w:trHeight w:val="318"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28</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事件地图</w:t>
            </w:r>
          </w:p>
        </w:tc>
        <w:tc>
          <w:tcPr>
            <w:tcW w:w="32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bottom w:w="0" w:type="dxa"/>
              <w:right w:w="15" w:type="dxa"/>
            </w:tcMar>
          </w:tcPr>
          <w:p>
            <w:pPr>
              <w:bidi w:val="0"/>
              <w:ind w:left="0" w:leftChars="0" w:firstLine="0" w:firstLineChars="0"/>
              <w:rPr>
                <w:rFonts w:hint="eastAsia"/>
              </w:rPr>
            </w:pPr>
            <w:r>
              <w:rPr>
                <w:rFonts w:hint="eastAsia"/>
              </w:rPr>
              <w:t>在地图中显示上报的管网设备故障、漏水等事件信息</w:t>
            </w:r>
          </w:p>
        </w:tc>
      </w:tr>
      <w:tr>
        <w:tblPrEx>
          <w:tblCellMar>
            <w:top w:w="0" w:type="dxa"/>
            <w:left w:w="0" w:type="dxa"/>
            <w:bottom w:w="0" w:type="dxa"/>
            <w:right w:w="0" w:type="dxa"/>
          </w:tblCellMar>
        </w:tblPrEx>
        <w:trPr>
          <w:trHeight w:val="57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29</w:t>
            </w:r>
          </w:p>
        </w:tc>
        <w:tc>
          <w:tcPr>
            <w:tcW w:w="601" w:type="pct"/>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地图工具</w:t>
            </w: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地图书签</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创建书签，记录当前视图的坐标、地图视角，通过地图书签快速定位跳转</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30</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空间量算</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支持距离量算、面积量算</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31</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设备多媒体</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支持设备的图片多媒体浏览查看、上传挂接、删除</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32</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截屏打印</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支持对地图当前视图自动截图生成打印图片</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33</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制图打印</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支持按比例尺选择数据范围和图层生成打印图片</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34</w:t>
            </w:r>
          </w:p>
        </w:tc>
        <w:tc>
          <w:tcPr>
            <w:tcW w:w="601" w:type="pct"/>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管网编辑</w:t>
            </w:r>
          </w:p>
        </w:tc>
        <w:tc>
          <w:tcPr>
            <w:tcW w:w="814"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添加管点</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支持按设备类型添加管点，并编辑添加的管点属性</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35</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删除管点</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支持地图上点击选择删除管点</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36</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移动管点</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支持地图上选中移动管点</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37</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添加管线</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支持选择管点连接成管线，并编辑添加的管线属性</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38</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删除管线</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支持地图上选择删除管线</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39</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属性纠错</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支持设备属性错误上报，以及纠错审核</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40</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SHAPE导入</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支持将所选设备图层导出为SHAPE文件</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41</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SHAPE导出</w:t>
            </w:r>
          </w:p>
        </w:tc>
        <w:tc>
          <w:tcPr>
            <w:tcW w:w="3285"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支持将设备图层的SHAPE文件导入到所选图层中</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42</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nil"/>
              <w:bottom w:val="nil"/>
              <w:right w:val="single" w:color="000000" w:sz="4" w:space="0"/>
            </w:tcBorders>
            <w:tcMar>
              <w:top w:w="15" w:type="dxa"/>
              <w:left w:w="15" w:type="dxa"/>
              <w:bottom w:w="0" w:type="dxa"/>
              <w:right w:w="15" w:type="dxa"/>
            </w:tcMar>
            <w:vAlign w:val="center"/>
          </w:tcPr>
          <w:p>
            <w:pPr>
              <w:bidi w:val="0"/>
              <w:ind w:left="0" w:leftChars="0" w:firstLine="0" w:firstLineChars="0"/>
              <w:rPr>
                <w:rFonts w:hint="eastAsia"/>
              </w:rPr>
            </w:pPr>
            <w:r>
              <w:rPr>
                <w:rFonts w:hint="eastAsia"/>
              </w:rPr>
              <w:t>外业导入</w:t>
            </w:r>
          </w:p>
        </w:tc>
        <w:tc>
          <w:tcPr>
            <w:tcW w:w="3285" w:type="pct"/>
            <w:tcBorders>
              <w:top w:val="single" w:color="000000" w:sz="4" w:space="0"/>
              <w:left w:val="single" w:color="000000" w:sz="4" w:space="0"/>
              <w:bottom w:val="nil"/>
              <w:right w:val="single" w:color="000000" w:sz="4" w:space="0"/>
            </w:tcBorders>
            <w:tcMar>
              <w:top w:w="15" w:type="dxa"/>
              <w:left w:w="15" w:type="dxa"/>
              <w:bottom w:w="0" w:type="dxa"/>
              <w:right w:w="15" w:type="dxa"/>
            </w:tcMar>
            <w:vAlign w:val="bottom"/>
          </w:tcPr>
          <w:p>
            <w:pPr>
              <w:bidi w:val="0"/>
              <w:ind w:left="0" w:leftChars="0" w:firstLine="0" w:firstLineChars="0"/>
              <w:rPr>
                <w:rFonts w:hint="eastAsia"/>
              </w:rPr>
            </w:pPr>
            <w:r>
              <w:rPr>
                <w:rFonts w:hint="eastAsia"/>
              </w:rPr>
              <w:t>支持管网外业物探成果点线表导入</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43</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nil"/>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线上加点</w:t>
            </w:r>
          </w:p>
        </w:tc>
        <w:tc>
          <w:tcPr>
            <w:tcW w:w="32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支持在管线上添加管点设备</w:t>
            </w:r>
          </w:p>
        </w:tc>
      </w:tr>
      <w:tr>
        <w:tblPrEx>
          <w:tblCellMar>
            <w:top w:w="0" w:type="dxa"/>
            <w:left w:w="0" w:type="dxa"/>
            <w:bottom w:w="0" w:type="dxa"/>
            <w:right w:w="0" w:type="dxa"/>
          </w:tblCellMar>
        </w:tblPrEx>
        <w:trPr>
          <w:trHeight w:val="285"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44</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nil"/>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点打断线</w:t>
            </w:r>
          </w:p>
        </w:tc>
        <w:tc>
          <w:tcPr>
            <w:tcW w:w="32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支持在管线上添加管点设备并打断管线间连接状态</w:t>
            </w:r>
          </w:p>
        </w:tc>
      </w:tr>
      <w:tr>
        <w:tblPrEx>
          <w:tblCellMar>
            <w:top w:w="0" w:type="dxa"/>
            <w:left w:w="0" w:type="dxa"/>
            <w:bottom w:w="0" w:type="dxa"/>
            <w:right w:w="0" w:type="dxa"/>
          </w:tblCellMar>
        </w:tblPrEx>
        <w:trPr>
          <w:trHeight w:val="54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45</w:t>
            </w:r>
          </w:p>
        </w:tc>
        <w:tc>
          <w:tcPr>
            <w:tcW w:w="601"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bottom w:w="0" w:type="dxa"/>
              <w:right w:w="15" w:type="dxa"/>
            </w:tcMar>
            <w:vAlign w:val="center"/>
          </w:tcPr>
          <w:p>
            <w:pPr>
              <w:bidi w:val="0"/>
              <w:ind w:left="0" w:leftChars="0" w:firstLine="0" w:firstLineChars="0"/>
              <w:rPr>
                <w:rFonts w:hint="eastAsia"/>
              </w:rPr>
            </w:pPr>
            <w:r>
              <w:rPr>
                <w:rFonts w:hint="eastAsia"/>
              </w:rPr>
              <w:t>管网检查</w:t>
            </w:r>
          </w:p>
        </w:tc>
        <w:tc>
          <w:tcPr>
            <w:tcW w:w="81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bottom w:w="0" w:type="dxa"/>
              <w:right w:w="15" w:type="dxa"/>
            </w:tcMar>
            <w:vAlign w:val="center"/>
          </w:tcPr>
          <w:p>
            <w:pPr>
              <w:bidi w:val="0"/>
              <w:ind w:left="0" w:leftChars="0" w:firstLine="0" w:firstLineChars="0"/>
              <w:rPr>
                <w:rFonts w:hint="eastAsia"/>
              </w:rPr>
            </w:pPr>
            <w:r>
              <w:rPr>
                <w:rFonts w:hint="eastAsia"/>
              </w:rPr>
              <w:t>老化设备检查</w:t>
            </w:r>
          </w:p>
        </w:tc>
        <w:tc>
          <w:tcPr>
            <w:tcW w:w="32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支持根据管网设备使用年限搜索检测出超出安全运行年限的设备，并提供该设备的详细属性信息</w:t>
            </w:r>
          </w:p>
        </w:tc>
      </w:tr>
      <w:tr>
        <w:tblPrEx>
          <w:tblCellMar>
            <w:top w:w="0" w:type="dxa"/>
            <w:left w:w="0" w:type="dxa"/>
            <w:bottom w:w="0" w:type="dxa"/>
            <w:right w:w="0" w:type="dxa"/>
          </w:tblCellMar>
        </w:tblPrEx>
        <w:trPr>
          <w:trHeight w:val="540" w:hRule="atLeast"/>
        </w:trPr>
        <w:tc>
          <w:tcPr>
            <w:tcW w:w="299" w:type="pc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bidi w:val="0"/>
              <w:ind w:left="0" w:leftChars="0" w:firstLine="0" w:firstLineChars="0"/>
              <w:jc w:val="center"/>
              <w:rPr>
                <w:rFonts w:hint="eastAsia"/>
              </w:rPr>
            </w:pPr>
            <w:r>
              <w:rPr>
                <w:rFonts w:hint="eastAsia"/>
              </w:rPr>
              <w:t>46</w:t>
            </w:r>
          </w:p>
        </w:tc>
        <w:tc>
          <w:tcPr>
            <w:tcW w:w="601" w:type="pct"/>
            <w:vMerge w:val="continue"/>
            <w:tcBorders>
              <w:top w:val="single" w:color="000000" w:sz="4" w:space="0"/>
              <w:left w:val="single" w:color="000000" w:sz="4" w:space="0"/>
              <w:bottom w:val="single" w:color="000000" w:sz="4" w:space="0"/>
              <w:right w:val="single" w:color="000000" w:sz="4" w:space="0"/>
            </w:tcBorders>
            <w:vAlign w:val="center"/>
          </w:tcPr>
          <w:p>
            <w:pPr>
              <w:bidi w:val="0"/>
              <w:ind w:left="0" w:leftChars="0" w:firstLine="0" w:firstLineChars="0"/>
              <w:rPr>
                <w:rFonts w:hint="eastAsia"/>
              </w:rPr>
            </w:pPr>
          </w:p>
        </w:tc>
        <w:tc>
          <w:tcPr>
            <w:tcW w:w="81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bottom w:w="0" w:type="dxa"/>
              <w:right w:w="15" w:type="dxa"/>
            </w:tcMar>
            <w:vAlign w:val="center"/>
          </w:tcPr>
          <w:p>
            <w:pPr>
              <w:bidi w:val="0"/>
              <w:ind w:left="0" w:leftChars="0" w:firstLine="0" w:firstLineChars="0"/>
              <w:rPr>
                <w:rFonts w:hint="eastAsia"/>
              </w:rPr>
            </w:pPr>
            <w:r>
              <w:rPr>
                <w:rFonts w:hint="eastAsia"/>
              </w:rPr>
              <w:t>管网检查</w:t>
            </w:r>
          </w:p>
        </w:tc>
        <w:tc>
          <w:tcPr>
            <w:tcW w:w="328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bidi w:val="0"/>
              <w:ind w:left="0" w:leftChars="0" w:firstLine="0" w:firstLineChars="0"/>
              <w:rPr>
                <w:rFonts w:hint="eastAsia"/>
              </w:rPr>
            </w:pPr>
            <w:r>
              <w:rPr>
                <w:rFonts w:hint="eastAsia"/>
              </w:rPr>
              <w:t>支持按管网设备重复属性、重复点、重复线等检查功能</w:t>
            </w:r>
          </w:p>
        </w:tc>
      </w:tr>
    </w:tbl>
    <w:p>
      <w:pPr>
        <w:pStyle w:val="5"/>
        <w:bidi w:val="0"/>
        <w:rPr>
          <w:rFonts w:hint="eastAsia" w:ascii="Times New Roman" w:hAnsi="Times New Roman" w:cs="Times New Roman"/>
          <w:color w:val="FF0000"/>
          <w:lang w:val="en-US" w:eastAsia="zh-CN"/>
        </w:rPr>
      </w:pPr>
      <w:r>
        <w:rPr>
          <w:rFonts w:hint="eastAsia" w:cs="Times New Roman"/>
          <w:color w:val="FF0000"/>
          <w:lang w:val="en-US" w:eastAsia="zh-CN"/>
        </w:rPr>
        <w:t>1.</w:t>
      </w:r>
      <w:r>
        <w:rPr>
          <w:rFonts w:hint="default" w:cs="Times New Roman"/>
          <w:color w:val="FF0000"/>
          <w:lang w:val="en-US" w:eastAsia="zh-CN"/>
        </w:rPr>
        <w:t>3</w:t>
      </w:r>
      <w:r>
        <w:rPr>
          <w:rFonts w:hint="eastAsia" w:ascii="宋体" w:hAnsi="宋体" w:cs="宋体"/>
          <w:color w:val="FF0000"/>
          <w:kern w:val="0"/>
          <w:szCs w:val="21"/>
          <w:lang w:eastAsia="en-US"/>
        </w:rPr>
        <w:t>产销差及漏损管理系统</w:t>
      </w:r>
      <w:r>
        <w:rPr>
          <w:rFonts w:hint="eastAsia"/>
          <w:color w:val="FF0000"/>
          <w:lang w:val="en-US" w:eastAsia="zh-CN"/>
        </w:rPr>
        <w:t>——</w:t>
      </w:r>
      <w:r>
        <w:rPr>
          <w:rFonts w:hint="eastAsia" w:ascii="宋体" w:hAnsi="宋体" w:cs="宋体"/>
          <w:color w:val="FF0000"/>
          <w:kern w:val="0"/>
          <w:szCs w:val="21"/>
          <w:lang w:val="en-US" w:eastAsia="zh-CN"/>
        </w:rPr>
        <w:t>技术标准和要求</w:t>
      </w:r>
    </w:p>
    <w:p>
      <w:pPr>
        <w:ind w:firstLine="420" w:firstLineChars="0"/>
      </w:pPr>
      <w:r>
        <w:rPr>
          <w:rFonts w:hint="eastAsia"/>
        </w:rPr>
        <w:t>供水管网的漏损管理工作是一项长期的工作，不是单一技术手段就可以解决的，因此需要全面的咨询规划、现场实施、系统开发应用等多元技术手段的综合构建与部署。</w:t>
      </w:r>
    </w:p>
    <w:p>
      <w:pPr>
        <w:ind w:firstLine="480"/>
        <w:rPr>
          <w:rFonts w:hint="default" w:eastAsia="宋体"/>
          <w:lang w:val="en-US" w:eastAsia="zh-CN"/>
        </w:rPr>
      </w:pPr>
      <w:r>
        <w:rPr>
          <w:rFonts w:hint="eastAsia"/>
        </w:rPr>
        <w:t xml:space="preserve"> 针对</w:t>
      </w:r>
      <w:r>
        <w:rPr>
          <w:rFonts w:hint="eastAsia"/>
          <w:lang w:eastAsia="zh-CN"/>
        </w:rPr>
        <w:t>新密</w:t>
      </w:r>
      <w:r>
        <w:rPr>
          <w:rFonts w:hint="eastAsia"/>
        </w:rPr>
        <w:t>水司的特点，本次项目</w:t>
      </w:r>
      <w:r>
        <w:rPr>
          <w:rFonts w:hint="eastAsia"/>
          <w:lang w:val="en-US" w:eastAsia="zh-CN"/>
        </w:rPr>
        <w:t>实现</w:t>
      </w:r>
      <w:r>
        <w:rPr>
          <w:rFonts w:hint="eastAsia"/>
        </w:rPr>
        <w:t>漏损管理体系构建与运维的全流程服务。</w:t>
      </w:r>
      <w:r>
        <w:rPr>
          <w:rFonts w:hint="eastAsia"/>
          <w:lang w:val="en-US" w:eastAsia="zh-CN"/>
        </w:rPr>
        <w:t>详细功能满足下表：</w:t>
      </w:r>
    </w:p>
    <w:p>
      <w:pPr>
        <w:rPr>
          <w:rFonts w:hint="eastAsia"/>
          <w:lang w:val="en-US" w:eastAsia="zh-CN"/>
        </w:rPr>
      </w:pPr>
    </w:p>
    <w:tbl>
      <w:tblPr>
        <w:tblStyle w:val="9"/>
        <w:tblW w:w="4998" w:type="pct"/>
        <w:tblInd w:w="0" w:type="dxa"/>
        <w:tblLayout w:type="autofit"/>
        <w:tblCellMar>
          <w:top w:w="15" w:type="dxa"/>
          <w:left w:w="15" w:type="dxa"/>
          <w:bottom w:w="15" w:type="dxa"/>
          <w:right w:w="15" w:type="dxa"/>
        </w:tblCellMar>
      </w:tblPr>
      <w:tblGrid>
        <w:gridCol w:w="432"/>
        <w:gridCol w:w="1054"/>
        <w:gridCol w:w="1797"/>
        <w:gridCol w:w="5050"/>
      </w:tblGrid>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宋体" w:hAnsi="宋体" w:cs="宋体"/>
                <w:b/>
                <w:color w:val="000000"/>
                <w:sz w:val="22"/>
              </w:rPr>
            </w:pPr>
            <w:r>
              <w:rPr>
                <w:rFonts w:hint="eastAsia" w:ascii="宋体" w:hAnsi="宋体" w:cs="宋体"/>
                <w:b/>
                <w:color w:val="000000"/>
                <w:kern w:val="0"/>
                <w:sz w:val="22"/>
                <w:lang w:bidi="ar"/>
              </w:rPr>
              <w:t>序号</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宋体" w:hAnsi="宋体" w:cs="宋体"/>
                <w:b/>
                <w:color w:val="000000"/>
                <w:sz w:val="22"/>
              </w:rPr>
            </w:pPr>
            <w:r>
              <w:rPr>
                <w:rFonts w:hint="eastAsia" w:ascii="宋体" w:hAnsi="宋体" w:cs="宋体"/>
                <w:b/>
                <w:color w:val="000000"/>
                <w:kern w:val="0"/>
                <w:sz w:val="22"/>
                <w:lang w:bidi="ar"/>
              </w:rPr>
              <w:t>功能模块</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color w:val="000000"/>
                <w:sz w:val="22"/>
              </w:rPr>
            </w:pPr>
            <w:r>
              <w:rPr>
                <w:rFonts w:hint="eastAsia" w:ascii="宋体" w:hAnsi="宋体" w:cs="宋体"/>
                <w:b/>
                <w:color w:val="000000"/>
                <w:kern w:val="0"/>
                <w:sz w:val="22"/>
                <w:lang w:bidi="ar"/>
              </w:rPr>
              <w:t>子功能</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color w:val="000000"/>
                <w:sz w:val="22"/>
              </w:rPr>
            </w:pPr>
            <w:r>
              <w:rPr>
                <w:rFonts w:hint="eastAsia" w:ascii="宋体" w:hAnsi="宋体" w:cs="宋体"/>
                <w:b/>
                <w:color w:val="000000"/>
                <w:kern w:val="0"/>
                <w:sz w:val="22"/>
                <w:lang w:val="en-US" w:eastAsia="zh-CN" w:bidi="ar"/>
              </w:rPr>
              <w:t>功能需求</w:t>
            </w:r>
            <w:r>
              <w:rPr>
                <w:rFonts w:hint="eastAsia" w:ascii="宋体" w:hAnsi="宋体" w:cs="宋体"/>
                <w:b/>
                <w:color w:val="000000"/>
                <w:kern w:val="0"/>
                <w:sz w:val="22"/>
                <w:lang w:bidi="ar"/>
              </w:rPr>
              <w:t>描述</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w:t>
            </w:r>
          </w:p>
        </w:tc>
        <w:tc>
          <w:tcPr>
            <w:tcW w:w="6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总体分析</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漏损总体分析</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从全</w:t>
            </w:r>
            <w:r>
              <w:rPr>
                <w:rFonts w:hint="eastAsia" w:ascii="宋体" w:hAnsi="宋体" w:cs="宋体"/>
                <w:color w:val="000000"/>
                <w:kern w:val="0"/>
                <w:sz w:val="22"/>
                <w:lang w:val="en-US" w:eastAsia="zh-CN" w:bidi="ar"/>
              </w:rPr>
              <w:t>城区</w:t>
            </w:r>
            <w:r>
              <w:rPr>
                <w:rFonts w:hint="eastAsia" w:ascii="宋体" w:hAnsi="宋体" w:cs="宋体"/>
                <w:color w:val="000000"/>
                <w:kern w:val="0"/>
                <w:sz w:val="22"/>
                <w:lang w:bidi="ar"/>
              </w:rPr>
              <w:t>角度展示漏损相关数据</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分区总体分析</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以单个大分区为展示维度，汇总展示核心数据和水量传递关系。</w:t>
            </w:r>
          </w:p>
        </w:tc>
      </w:tr>
      <w:tr>
        <w:tblPrEx>
          <w:tblCellMar>
            <w:top w:w="15" w:type="dxa"/>
            <w:left w:w="15" w:type="dxa"/>
            <w:bottom w:w="15" w:type="dxa"/>
            <w:right w:w="15" w:type="dxa"/>
          </w:tblCellMar>
        </w:tblPrEx>
        <w:trPr>
          <w:trHeight w:val="270"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3</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DMA总体分析</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汇总DMA的核心数据，从DMA维度进行展示。</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4</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智能报警</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报警列表</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汇总展示各类报警，为日常管理提供智能诊断。</w:t>
            </w:r>
          </w:p>
        </w:tc>
      </w:tr>
      <w:tr>
        <w:tblPrEx>
          <w:tblCellMar>
            <w:top w:w="15" w:type="dxa"/>
            <w:left w:w="15" w:type="dxa"/>
            <w:bottom w:w="15" w:type="dxa"/>
            <w:right w:w="15" w:type="dxa"/>
          </w:tblCellMar>
        </w:tblPrEx>
        <w:trPr>
          <w:trHeight w:val="270"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5</w:t>
            </w:r>
          </w:p>
        </w:tc>
        <w:tc>
          <w:tcPr>
            <w:tcW w:w="6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大分区管理</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分区概括</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展示分区的空间位置及核心运行数据</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6</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分区分析</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针对单个分区进行纵向数据分析</w:t>
            </w:r>
          </w:p>
        </w:tc>
      </w:tr>
      <w:tr>
        <w:tblPrEx>
          <w:tblCellMar>
            <w:top w:w="15" w:type="dxa"/>
            <w:left w:w="15" w:type="dxa"/>
            <w:bottom w:w="15" w:type="dxa"/>
            <w:right w:w="15" w:type="dxa"/>
          </w:tblCellMar>
        </w:tblPrEx>
        <w:trPr>
          <w:trHeight w:val="270"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7</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分区结构</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通过枝状结构、旭日图、曲线等工具组合，快速定位问题层级</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8</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分区表格</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汇总展示各级分区的产销差数据，进行横向分析</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9</w:t>
            </w:r>
          </w:p>
        </w:tc>
        <w:tc>
          <w:tcPr>
            <w:tcW w:w="6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 xml:space="preserve"> DMA管理</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DMA地图</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展示DMA分区的空间位置，通过报警作为数据数据分析的入口</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10</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DMA报警列表</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DMA新增漏失、存量漏失、综合漏损率的报警列表</w:t>
            </w:r>
          </w:p>
        </w:tc>
      </w:tr>
      <w:tr>
        <w:tblPrEx>
          <w:tblCellMar>
            <w:top w:w="15" w:type="dxa"/>
            <w:left w:w="15" w:type="dxa"/>
            <w:bottom w:w="15" w:type="dxa"/>
            <w:right w:w="15" w:type="dxa"/>
          </w:tblCellMar>
        </w:tblPrEx>
        <w:trPr>
          <w:trHeight w:val="270"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11</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DMA属性</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提供全方位的“体检报告”，清晰展示DMA的历史状态、评价现状及管理目标</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12</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漏失分析</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针对新增漏失、存量漏失进行评价报警，提供多种分析界面。结合智能算法，针对存量漏失，给出决策支持。同时支持全计量DMA分析。</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13</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营销深度分析</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以表格的形式展示全部DMA的产销差数据</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14</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漏失管理目标</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根据DMA的基础信息，自动计算DMA的漏失管理目标</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15</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lang w:eastAsia="zh-CN"/>
              </w:rPr>
              <w:t xml:space="preserve"> </w:t>
            </w:r>
            <w:r>
              <w:rPr>
                <w:rFonts w:hint="eastAsia" w:ascii="宋体" w:hAnsi="宋体" w:cs="宋体"/>
                <w:color w:val="000000"/>
                <w:kern w:val="0"/>
                <w:sz w:val="22"/>
                <w:lang w:bidi="ar"/>
              </w:rPr>
              <w:t>DMA进度管理</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全生命周期管理DMA的运营情况</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16</w:t>
            </w:r>
          </w:p>
        </w:tc>
        <w:tc>
          <w:tcPr>
            <w:tcW w:w="6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大用户管理</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综合统计</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汇总展示远传大用户的运行状态</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17</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上报率统计</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根据统计报表快速筛选上传存在问题的设备，同时可以进行厂商对比分析</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18</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水量查询报表</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展示远传大用户的水量数据，判断是否存在流量异常及配表异常</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19</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抄表对比</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结合人工抄表数据及设备远传数据，进行数据对比分析，辅助判断是否存在抄表质量问题</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20</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配表分析</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针对单个水表选型进行分析</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21</w:t>
            </w:r>
          </w:p>
        </w:tc>
        <w:tc>
          <w:tcPr>
            <w:tcW w:w="6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水表管理</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设备地图</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以地图的形式展示水表的空间位置和运行状态</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22</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水表列表</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对水表的基本信息进行设置</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23</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历史数据</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对单个水表进行数据分析功能，同时记录水表的更换记录及修正水量</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24</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多水表对比分析</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对多个水表进行同时间段的分析功能</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25</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压力管理</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压力地图</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以地图的形式显示压力监测点位置、数据、报警，并提供压力分析曲线。</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26</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lang w:eastAsia="zh-CN"/>
              </w:rPr>
              <w:t xml:space="preserve"> </w:t>
            </w:r>
            <w:r>
              <w:rPr>
                <w:rFonts w:hint="eastAsia" w:ascii="宋体" w:hAnsi="宋体" w:cs="宋体"/>
                <w:color w:val="000000"/>
                <w:kern w:val="0"/>
                <w:sz w:val="22"/>
                <w:lang w:bidi="ar"/>
              </w:rPr>
              <w:t>噪声管理</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噪声地图</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以地图的形式显示噪声监测点位置、数据、报警，并提供噪声分析曲线。</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27</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lang w:eastAsia="zh-CN"/>
              </w:rPr>
              <w:t xml:space="preserve"> </w:t>
            </w:r>
            <w:r>
              <w:rPr>
                <w:rFonts w:hint="eastAsia" w:ascii="宋体" w:hAnsi="宋体" w:cs="宋体"/>
                <w:color w:val="000000"/>
                <w:kern w:val="0"/>
                <w:sz w:val="22"/>
                <w:lang w:bidi="ar"/>
              </w:rPr>
              <w:t>水平衡分析</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水平衡分析</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根据CJJ92-2016自动生成水平衡表</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28</w:t>
            </w:r>
          </w:p>
        </w:tc>
        <w:tc>
          <w:tcPr>
            <w:tcW w:w="6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事件工单</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工单列表</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提供工单统计分析功能，可以查看工单详情。</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29</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事件列表</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通过表格的形式展示事件，可以对事件进行新增、修改、删除。</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30</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lang w:eastAsia="zh-CN"/>
              </w:rPr>
              <w:t xml:space="preserve"> </w:t>
            </w:r>
            <w:r>
              <w:rPr>
                <w:rFonts w:hint="eastAsia" w:ascii="宋体" w:hAnsi="宋体" w:cs="宋体"/>
                <w:color w:val="000000"/>
                <w:kern w:val="0"/>
                <w:sz w:val="22"/>
                <w:lang w:bidi="ar"/>
              </w:rPr>
              <w:t>绩效管理</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绩效报表</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生成绩效报表，并查看历史报表</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31</w:t>
            </w:r>
          </w:p>
        </w:tc>
        <w:tc>
          <w:tcPr>
            <w:tcW w:w="6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基础信息管理</w:t>
            </w: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DMA列表</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对DMA的基本信息、挂接关系进行设置</w:t>
            </w:r>
          </w:p>
        </w:tc>
      </w:tr>
      <w:tr>
        <w:tblPrEx>
          <w:tblCellMar>
            <w:top w:w="15" w:type="dxa"/>
            <w:left w:w="15" w:type="dxa"/>
            <w:bottom w:w="15" w:type="dxa"/>
            <w:right w:w="15" w:type="dxa"/>
          </w:tblCellMar>
        </w:tblPrEx>
        <w:trPr>
          <w:trHeight w:val="270"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32</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大分区设置</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新建及维护大分区的挂接关系</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33</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压力设置</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可以设置压力监测点的基本信息及报警阈值</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34</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噪声设置</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可以设置压力监测点的基本信息</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35</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特殊水量录入</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大分区和DMA录入特殊水量</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36</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评价指标设置</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设置参数，进行人工评价</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37</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水表参数录入</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录入水表的Q值</w:t>
            </w:r>
          </w:p>
        </w:tc>
      </w:tr>
      <w:tr>
        <w:tblPrEx>
          <w:tblCellMar>
            <w:top w:w="15" w:type="dxa"/>
            <w:left w:w="15" w:type="dxa"/>
            <w:bottom w:w="15" w:type="dxa"/>
            <w:right w:w="15" w:type="dxa"/>
          </w:tblCellMar>
        </w:tblPrEx>
        <w:trPr>
          <w:trHeight w:val="285" w:hRule="atLeast"/>
        </w:trPr>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38</w:t>
            </w:r>
          </w:p>
        </w:tc>
        <w:tc>
          <w:tcPr>
            <w:tcW w:w="6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p>
        </w:tc>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月度报表导入</w:t>
            </w:r>
          </w:p>
        </w:tc>
        <w:tc>
          <w:tcPr>
            <w:tcW w:w="3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导入报表数据</w:t>
            </w:r>
          </w:p>
        </w:tc>
      </w:tr>
    </w:tbl>
    <w:p>
      <w:pPr>
        <w:pStyle w:val="5"/>
        <w:bidi w:val="0"/>
        <w:rPr>
          <w:rFonts w:hint="eastAsia" w:ascii="Times New Roman" w:hAnsi="Times New Roman" w:cs="Times New Roman"/>
          <w:color w:val="FF0000"/>
          <w:lang w:val="en-US" w:eastAsia="en-US"/>
        </w:rPr>
      </w:pPr>
      <w:r>
        <w:rPr>
          <w:rFonts w:hint="default" w:cs="Times New Roman"/>
          <w:color w:val="FF0000"/>
          <w:lang w:val="en-US" w:eastAsia="en-US"/>
        </w:rPr>
        <w:t>1.4</w:t>
      </w:r>
      <w:r>
        <w:rPr>
          <w:rFonts w:hint="eastAsia" w:ascii="Times New Roman" w:hAnsi="Times New Roman" w:cs="Times New Roman"/>
          <w:color w:val="FF0000"/>
          <w:lang w:val="en-US" w:eastAsia="en-US"/>
        </w:rPr>
        <w:t>智慧水务综合展示大屏系统</w:t>
      </w:r>
      <w:r>
        <w:rPr>
          <w:rFonts w:hint="eastAsia"/>
          <w:color w:val="FF0000"/>
          <w:lang w:val="en-US" w:eastAsia="zh-CN"/>
        </w:rPr>
        <w:t>——</w:t>
      </w:r>
      <w:r>
        <w:rPr>
          <w:rFonts w:hint="eastAsia" w:ascii="宋体" w:hAnsi="宋体" w:cs="宋体"/>
          <w:color w:val="FF0000"/>
          <w:kern w:val="0"/>
          <w:szCs w:val="21"/>
          <w:lang w:val="en-US" w:eastAsia="zh-CN"/>
        </w:rPr>
        <w:t>技术标准和要求</w:t>
      </w:r>
    </w:p>
    <w:p>
      <w:pPr>
        <w:bidi w:val="0"/>
        <w:rPr>
          <w:rFonts w:hint="eastAsia" w:eastAsia="宋体"/>
          <w:lang w:val="en-US" w:eastAsia="zh-CN"/>
        </w:rPr>
      </w:pPr>
      <w:r>
        <w:rPr>
          <w:rFonts w:hint="eastAsia"/>
        </w:rPr>
        <w:t>智慧水务大屏综合展示系统是水务企业从源头到龙头供水全流程管理的可视化展示系统。综合展现了平台各个子系统中的核心业务与关键指标，用可视化的方式直观的为客户提供了一个支持数据监控、统计、分析的管理驾驶舱。</w:t>
      </w:r>
      <w:r>
        <w:rPr>
          <w:rFonts w:hint="eastAsia"/>
          <w:lang w:val="en-US" w:eastAsia="zh-CN"/>
        </w:rPr>
        <w:t>包含</w:t>
      </w:r>
    </w:p>
    <w:p>
      <w:pPr>
        <w:numPr>
          <w:ilvl w:val="0"/>
          <w:numId w:val="1"/>
        </w:numPr>
        <w:ind w:firstLine="480"/>
        <w:rPr>
          <w:rFonts w:hint="eastAsia"/>
        </w:rPr>
      </w:pPr>
      <w:r>
        <w:rPr>
          <w:rtl w:val="0"/>
          <w:lang w:val="zh-TW" w:eastAsia="zh-TW"/>
        </w:rPr>
        <w:t>核心主页</w:t>
      </w:r>
      <w:r>
        <w:rPr>
          <w:rFonts w:hint="eastAsia"/>
          <w:rtl w:val="0"/>
          <w:lang w:val="zh-TW" w:eastAsia="zh-CN"/>
        </w:rPr>
        <w:t>：</w:t>
      </w:r>
      <w:r>
        <w:rPr>
          <w:rFonts w:hint="eastAsia"/>
        </w:rPr>
        <w:t>处于大屏正中，展示城市地图、管网、设备区位信息，以及报警、天气及重点关注的指标数据与</w:t>
      </w:r>
      <w:r>
        <w:t>KPI</w:t>
      </w:r>
      <w:r>
        <w:rPr>
          <w:rFonts w:hint="eastAsia"/>
        </w:rPr>
        <w:t>排行、统计图表。</w:t>
      </w:r>
    </w:p>
    <w:p>
      <w:pPr>
        <w:pStyle w:val="8"/>
        <w:numPr>
          <w:ilvl w:val="0"/>
          <w:numId w:val="1"/>
        </w:numPr>
        <w:ind w:firstLine="883"/>
        <w:rPr>
          <w:kern w:val="0"/>
          <w:highlight w:val="none"/>
        </w:rPr>
      </w:pPr>
      <w:r>
        <w:rPr>
          <w:rFonts w:hint="eastAsia"/>
          <w:highlight w:val="none"/>
        </w:rPr>
        <w:t>设备管理驾驶舱</w:t>
      </w:r>
      <w:r>
        <w:rPr>
          <w:rFonts w:hint="eastAsia"/>
          <w:highlight w:val="none"/>
          <w:rtl w:val="0"/>
          <w:lang w:val="zh-TW" w:eastAsia="zh-CN"/>
        </w:rPr>
        <w:t>：</w:t>
      </w:r>
      <w:r>
        <w:rPr>
          <w:rFonts w:hint="eastAsia"/>
          <w:highlight w:val="none"/>
          <w:rtl w:val="0"/>
          <w:lang w:val="en-US" w:eastAsia="zh-CN"/>
        </w:rPr>
        <w:t>可以</w:t>
      </w:r>
      <w:r>
        <w:rPr>
          <w:rFonts w:hint="eastAsia"/>
          <w:highlight w:val="none"/>
        </w:rPr>
        <w:t>展示监测点位区位</w:t>
      </w:r>
      <w:r>
        <w:rPr>
          <w:rFonts w:hint="eastAsia"/>
          <w:highlight w:val="none"/>
          <w:lang w:val="en-US" w:eastAsia="zh-CN"/>
        </w:rPr>
        <w:t>物联网设备在线情况，故障告警。</w:t>
      </w:r>
    </w:p>
    <w:p>
      <w:pPr>
        <w:pStyle w:val="8"/>
        <w:numPr>
          <w:ilvl w:val="0"/>
          <w:numId w:val="1"/>
        </w:numPr>
        <w:ind w:firstLine="883"/>
        <w:rPr>
          <w:kern w:val="0"/>
          <w:highlight w:val="none"/>
        </w:rPr>
      </w:pPr>
      <w:r>
        <w:rPr>
          <w:rFonts w:hint="eastAsia"/>
          <w:kern w:val="0"/>
          <w:highlight w:val="none"/>
          <w:lang w:val="en-US" w:eastAsia="zh-CN"/>
        </w:rPr>
        <w:t>视频轮播：以轮播或者手动点击的方式，查看各个厂站的实时视频。</w:t>
      </w:r>
    </w:p>
    <w:p>
      <w:pPr>
        <w:pStyle w:val="8"/>
        <w:numPr>
          <w:ilvl w:val="0"/>
          <w:numId w:val="1"/>
        </w:numPr>
      </w:pPr>
      <w:r>
        <w:rPr>
          <w:lang w:val="zh-TW" w:eastAsia="zh-TW"/>
        </w:rPr>
        <w:t>市区供水调度</w:t>
      </w:r>
      <w:r>
        <w:rPr>
          <w:rFonts w:hint="eastAsia"/>
          <w:lang w:val="zh-TW" w:eastAsia="zh-CN"/>
        </w:rPr>
        <w:t>：</w:t>
      </w:r>
      <w:r>
        <w:rPr>
          <w:kern w:val="0"/>
          <w:lang w:val="zh-TW" w:eastAsia="zh-TW"/>
        </w:rPr>
        <w:t>可查看市区站点空间分布、压力流量水质等实时数据，监控站点报警，并帮助调度员作出调度决策，支持快速排单与办理。</w:t>
      </w:r>
    </w:p>
    <w:p>
      <w:pPr>
        <w:pStyle w:val="8"/>
        <w:numPr>
          <w:ilvl w:val="0"/>
          <w:numId w:val="1"/>
        </w:numPr>
        <w:rPr>
          <w:lang w:val="zh-TW" w:eastAsia="zh-TW"/>
        </w:rPr>
      </w:pPr>
      <w:r>
        <w:rPr>
          <w:rFonts w:hint="eastAsia"/>
          <w:lang w:val="en-US" w:eastAsia="zh-CN"/>
        </w:rPr>
        <w:t>管网压力：</w:t>
      </w:r>
      <w:r>
        <w:rPr>
          <w:kern w:val="0"/>
          <w:rtl w:val="0"/>
          <w:lang w:val="zh-TW" w:eastAsia="zh-TW"/>
        </w:rPr>
        <w:t>分区展示月度压力合格率趋势曲线，与压力不合格变化趋势，以及压力异常数量曲线，并列出当日压力异常站点数据。</w:t>
      </w:r>
    </w:p>
    <w:p>
      <w:pPr>
        <w:pStyle w:val="8"/>
        <w:numPr>
          <w:ilvl w:val="0"/>
          <w:numId w:val="1"/>
        </w:numPr>
        <w:rPr>
          <w:lang w:val="zh-TW" w:eastAsia="zh-TW"/>
        </w:rPr>
      </w:pPr>
      <w:r>
        <w:rPr>
          <w:rFonts w:hint="eastAsia"/>
          <w:lang w:val="en-US" w:eastAsia="zh-CN"/>
        </w:rPr>
        <w:t>水厂生产：</w:t>
      </w:r>
      <w:r>
        <w:rPr>
          <w:kern w:val="0"/>
          <w:lang w:val="zh-TW" w:eastAsia="zh-TW"/>
        </w:rPr>
        <w:t>展示了水厂关键设备的实时信息，包含进出厂压力，泵运行频率、状态，瞬时流量，累计流量和余氯。以及外购水厂生产的关键指标监控，监</w:t>
      </w:r>
      <w:r>
        <w:rPr>
          <w:kern w:val="0"/>
        </w:rPr>
        <w:t>测数据发生报警会标红提示，并以箭头提示增减变化</w:t>
      </w:r>
      <w:r>
        <w:rPr>
          <w:kern w:val="0"/>
          <w:lang w:val="zh-TW" w:eastAsia="zh-TW"/>
        </w:rPr>
        <w:t>。</w:t>
      </w:r>
    </w:p>
    <w:p>
      <w:pPr>
        <w:pStyle w:val="8"/>
        <w:numPr>
          <w:ilvl w:val="0"/>
          <w:numId w:val="1"/>
        </w:numPr>
        <w:ind w:firstLine="883"/>
        <w:rPr>
          <w:rFonts w:hint="eastAsia" w:ascii="Times New Roman" w:hAnsi="Times New Roman" w:cs="Times New Roman"/>
          <w:lang w:val="zh-TW" w:eastAsia="zh-TW"/>
        </w:rPr>
      </w:pPr>
      <w:r>
        <w:rPr>
          <w:rFonts w:hint="eastAsia" w:ascii="Times New Roman" w:hAnsi="Times New Roman" w:cs="Times New Roman"/>
          <w:lang w:val="en-US" w:eastAsia="zh-CN"/>
        </w:rPr>
        <w:t>水厂生产工艺：</w:t>
      </w:r>
      <w:r>
        <w:rPr>
          <w:rFonts w:hint="eastAsia" w:ascii="Times New Roman" w:hAnsi="Times New Roman" w:cs="Times New Roman"/>
          <w:lang w:val="zh-TW" w:eastAsia="zh-TW"/>
        </w:rPr>
        <w:t>图形化的方式展示水厂生产工艺组态图，并监控关键指标实时数据。</w:t>
      </w:r>
    </w:p>
    <w:p>
      <w:pPr>
        <w:pStyle w:val="8"/>
        <w:numPr>
          <w:ilvl w:val="0"/>
          <w:numId w:val="1"/>
        </w:numPr>
        <w:rPr>
          <w:rFonts w:hint="eastAsia"/>
          <w:lang w:val="en-US" w:eastAsia="zh-CN"/>
        </w:rPr>
      </w:pPr>
      <w:r>
        <w:rPr>
          <w:rFonts w:hint="eastAsia"/>
          <w:kern w:val="0"/>
          <w:lang w:val="en-US" w:eastAsia="zh-CN"/>
        </w:rPr>
        <w:t>营收管理：</w:t>
      </w:r>
      <w:r>
        <w:rPr>
          <w:kern w:val="0"/>
          <w:lang w:val="zh-TW" w:eastAsia="zh-TW"/>
        </w:rPr>
        <w:t>全面展示营收系统的各项</w:t>
      </w:r>
      <w:r>
        <w:rPr>
          <w:kern w:val="0"/>
        </w:rPr>
        <w:t>BI</w:t>
      </w:r>
      <w:r>
        <w:rPr>
          <w:kern w:val="0"/>
          <w:lang w:val="zh-TW" w:eastAsia="zh-TW"/>
        </w:rPr>
        <w:t>数据统计分析图表，包含营业收费、抄表催费等业务指标。</w:t>
      </w:r>
    </w:p>
    <w:p>
      <w:pPr>
        <w:pStyle w:val="8"/>
        <w:numPr>
          <w:ilvl w:val="0"/>
          <w:numId w:val="1"/>
        </w:numPr>
        <w:ind w:firstLine="883"/>
        <w:rPr>
          <w:rFonts w:hint="eastAsia" w:ascii="Times New Roman" w:hAnsi="Times New Roman" w:cs="Times New Roman"/>
          <w:kern w:val="0"/>
          <w:highlight w:val="none"/>
          <w:lang w:val="en-US" w:eastAsia="zh-CN"/>
        </w:rPr>
      </w:pPr>
      <w:r>
        <w:rPr>
          <w:rFonts w:hint="eastAsia" w:ascii="Times New Roman" w:hAnsi="Times New Roman" w:cs="Times New Roman"/>
          <w:kern w:val="0"/>
          <w:highlight w:val="none"/>
          <w:lang w:val="zh-TW" w:eastAsia="zh-TW"/>
        </w:rPr>
        <w:t>DMA分区综合管理</w:t>
      </w:r>
      <w:r>
        <w:rPr>
          <w:rFonts w:hint="eastAsia" w:ascii="Times New Roman" w:hAnsi="Times New Roman" w:cs="Times New Roman"/>
          <w:kern w:val="0"/>
          <w:highlight w:val="none"/>
          <w:lang w:val="zh-TW" w:eastAsia="zh-CN"/>
        </w:rPr>
        <w:t>：</w:t>
      </w:r>
    </w:p>
    <w:p>
      <w:pPr>
        <w:numPr>
          <w:ilvl w:val="0"/>
          <w:numId w:val="2"/>
        </w:numPr>
        <w:bidi w:val="0"/>
        <w:rPr>
          <w:highlight w:val="none"/>
        </w:rPr>
      </w:pPr>
      <w:r>
        <w:rPr>
          <w:rFonts w:hint="eastAsia"/>
          <w:highlight w:val="none"/>
        </w:rPr>
        <w:t>展示全市漏损的基本现状。</w:t>
      </w:r>
    </w:p>
    <w:p>
      <w:pPr>
        <w:numPr>
          <w:ilvl w:val="0"/>
          <w:numId w:val="2"/>
        </w:numPr>
        <w:bidi w:val="0"/>
        <w:rPr>
          <w:highlight w:val="none"/>
        </w:rPr>
      </w:pPr>
      <w:r>
        <w:rPr>
          <w:rFonts w:hint="eastAsia"/>
          <w:highlight w:val="none"/>
        </w:rPr>
        <w:t>汇总展示DMA分区的核心数据。</w:t>
      </w:r>
    </w:p>
    <w:p>
      <w:pPr>
        <w:numPr>
          <w:ilvl w:val="0"/>
          <w:numId w:val="2"/>
        </w:numPr>
        <w:bidi w:val="0"/>
        <w:rPr>
          <w:highlight w:val="none"/>
        </w:rPr>
      </w:pPr>
      <w:r>
        <w:rPr>
          <w:rFonts w:hint="eastAsia"/>
          <w:highlight w:val="none"/>
        </w:rPr>
        <w:t>展示远传大用户的管理现状，包括大用户数量、已装远传数量、远传水量的覆盖率。</w:t>
      </w:r>
    </w:p>
    <w:p>
      <w:pPr>
        <w:numPr>
          <w:ilvl w:val="0"/>
          <w:numId w:val="2"/>
        </w:numPr>
        <w:bidi w:val="0"/>
        <w:rPr>
          <w:highlight w:val="none"/>
        </w:rPr>
      </w:pPr>
      <w:r>
        <w:rPr>
          <w:rFonts w:hint="eastAsia"/>
          <w:highlight w:val="none"/>
        </w:rPr>
        <w:t>城市管线的基本情况。</w:t>
      </w:r>
    </w:p>
    <w:p>
      <w:pPr>
        <w:numPr>
          <w:ilvl w:val="0"/>
          <w:numId w:val="2"/>
        </w:numPr>
        <w:bidi w:val="0"/>
        <w:rPr>
          <w:kern w:val="0"/>
          <w:highlight w:val="none"/>
        </w:rPr>
      </w:pPr>
      <w:r>
        <w:rPr>
          <w:rFonts w:hint="eastAsia"/>
          <w:highlight w:val="none"/>
        </w:rPr>
        <w:t>通过事件工单了解城市漏损的现状、工单完成的情况</w:t>
      </w:r>
      <w:r>
        <w:rPr>
          <w:rFonts w:hint="eastAsia"/>
          <w:kern w:val="0"/>
          <w:highlight w:val="none"/>
        </w:rPr>
        <w:t>。</w:t>
      </w:r>
    </w:p>
    <w:p>
      <w:pPr>
        <w:pStyle w:val="8"/>
        <w:numPr>
          <w:ilvl w:val="0"/>
          <w:numId w:val="1"/>
        </w:numPr>
        <w:ind w:firstLine="883"/>
        <w:rPr>
          <w:rFonts w:hint="default" w:ascii="Times New Roman" w:hAnsi="Times New Roman" w:cs="Times New Roman"/>
          <w:kern w:val="0"/>
          <w:lang w:val="en-US" w:eastAsia="zh-CN"/>
        </w:rPr>
      </w:pPr>
      <w:r>
        <w:rPr>
          <w:rFonts w:hint="eastAsia" w:ascii="Times New Roman" w:hAnsi="Times New Roman" w:cs="Times New Roman"/>
          <w:kern w:val="0"/>
          <w:lang w:val="en-US" w:eastAsia="zh-CN"/>
        </w:rPr>
        <w:t>管网资产总览：分析查看当前的管网资产信息。</w:t>
      </w:r>
    </w:p>
    <w:p>
      <w:pPr>
        <w:pStyle w:val="5"/>
        <w:bidi w:val="0"/>
        <w:rPr>
          <w:rFonts w:hint="eastAsia" w:ascii="Times New Roman" w:hAnsi="Times New Roman" w:cs="Times New Roman"/>
          <w:color w:val="FF0000"/>
          <w:lang w:val="en-US" w:eastAsia="zh-CN"/>
        </w:rPr>
      </w:pPr>
      <w:r>
        <w:rPr>
          <w:rFonts w:hint="default" w:cs="Times New Roman"/>
          <w:color w:val="FF0000"/>
          <w:lang w:val="en-US" w:eastAsia="zh-CN"/>
        </w:rPr>
        <w:t>1.5</w:t>
      </w:r>
      <w:r>
        <w:rPr>
          <w:rFonts w:hint="eastAsia" w:ascii="Times New Roman" w:hAnsi="Times New Roman" w:cs="Times New Roman"/>
          <w:color w:val="FF0000"/>
          <w:lang w:val="en-US" w:eastAsia="zh-CN"/>
        </w:rPr>
        <w:t>公共</w:t>
      </w:r>
      <w:r>
        <w:rPr>
          <w:rFonts w:hint="eastAsia" w:cs="Times New Roman"/>
          <w:color w:val="FF0000"/>
          <w:lang w:val="en-US" w:eastAsia="zh-CN"/>
        </w:rPr>
        <w:t>服务</w:t>
      </w:r>
      <w:r>
        <w:rPr>
          <w:rFonts w:hint="eastAsia" w:ascii="Times New Roman" w:hAnsi="Times New Roman" w:cs="Times New Roman"/>
          <w:color w:val="FF0000"/>
          <w:lang w:val="en-US" w:eastAsia="zh-CN"/>
        </w:rPr>
        <w:t>平台</w:t>
      </w:r>
      <w:r>
        <w:rPr>
          <w:rFonts w:hint="eastAsia"/>
          <w:color w:val="FF0000"/>
          <w:lang w:val="en-US" w:eastAsia="zh-CN"/>
        </w:rPr>
        <w:t>——</w:t>
      </w:r>
      <w:r>
        <w:rPr>
          <w:rFonts w:hint="eastAsia" w:ascii="宋体" w:hAnsi="宋体" w:cs="宋体"/>
          <w:color w:val="FF0000"/>
          <w:kern w:val="0"/>
          <w:szCs w:val="21"/>
          <w:lang w:val="en-US" w:eastAsia="zh-CN"/>
        </w:rPr>
        <w:t>技术标准和要求</w:t>
      </w:r>
    </w:p>
    <w:tbl>
      <w:tblPr>
        <w:tblStyle w:val="10"/>
        <w:tblpPr w:leftFromText="180" w:rightFromText="180" w:vertAnchor="text" w:horzAnchor="page" w:tblpX="1793" w:tblpY="678"/>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426"/>
        <w:gridCol w:w="1537"/>
        <w:gridCol w:w="4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序号</w:t>
            </w:r>
          </w:p>
        </w:tc>
        <w:tc>
          <w:tcPr>
            <w:tcW w:w="1426" w:type="dxa"/>
          </w:tcPr>
          <w:p>
            <w:pPr>
              <w:widowControl w:val="0"/>
              <w:ind w:firstLine="0" w:firstLineChars="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功能模块</w:t>
            </w:r>
          </w:p>
        </w:tc>
        <w:tc>
          <w:tcPr>
            <w:tcW w:w="1537" w:type="dxa"/>
          </w:tcPr>
          <w:p>
            <w:pPr>
              <w:widowControl w:val="0"/>
              <w:ind w:firstLine="0" w:firstLineChars="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功能子项</w:t>
            </w:r>
          </w:p>
        </w:tc>
        <w:tc>
          <w:tcPr>
            <w:tcW w:w="4801" w:type="dxa"/>
          </w:tcPr>
          <w:p>
            <w:pPr>
              <w:widowControl w:val="0"/>
              <w:ind w:firstLine="0" w:firstLineChars="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功能描述、规格参数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5" w:hRule="atLeast"/>
        </w:trPr>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restart"/>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lang w:eastAsia="zh-CN"/>
              </w:rPr>
              <w:t xml:space="preserve"> </w:t>
            </w:r>
            <w:r>
              <w:rPr>
                <w:rFonts w:hint="eastAsia" w:ascii="宋体" w:hAnsi="宋体" w:eastAsia="宋体" w:cs="宋体"/>
                <w:color w:val="000000" w:themeColor="text1"/>
                <w:sz w:val="21"/>
                <w:szCs w:val="21"/>
                <w:lang w:val="en-US" w:eastAsia="zh-Hans"/>
                <w14:textFill>
                  <w14:solidFill>
                    <w14:schemeClr w14:val="tx1"/>
                  </w14:solidFill>
                </w14:textFill>
              </w:rPr>
              <w:t>用户中心</w:t>
            </w: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组织列表</w:t>
            </w:r>
          </w:p>
        </w:tc>
        <w:tc>
          <w:tcPr>
            <w:tcW w:w="4801"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组织架构是企业的骨架，是企业运营的支撑，是岗位设置的依据，是信息流通的渠道。没有组织架构，企业用户无法正常运营信息系统各类业务。</w:t>
            </w:r>
          </w:p>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建立统一规范的组织架构管理功能，满足各个系统对供水企业内部部门划分进行配置管理，支持多级部门,实现组织架构功能对智慧水务整体解决方案的全面支持。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角色管理</w:t>
            </w:r>
          </w:p>
        </w:tc>
        <w:tc>
          <w:tcPr>
            <w:tcW w:w="4801"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是平台对用户岗位和角色的设定和划分，对应相应系统功能权限分配和授权，以及用户和角色进行关联，实现用户权限控制，同时也可以对角色进行其他信息关联配置，实现各种自动化业务策略。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访问权限</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根据用户角色配置相应的菜单访问权限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用户管理</w:t>
            </w:r>
          </w:p>
        </w:tc>
        <w:tc>
          <w:tcPr>
            <w:tcW w:w="4801"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满足多系统，跨平台的用户统一信息管理，实现各个业务系统间用户信息规范化和统一化，提供用户信息透视和系统权限拓扑，掌握用户各系统操作各方面指标和各个系统权限。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同步管理</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支持同步组织用户角色权限数据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账号设置</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设置系统用户账号信息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restart"/>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站点中心</w:t>
            </w: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站点管理</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管理跨系统区域站点管理</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以及站点基本信息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站点类型</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支持站点类型配置</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所属应用系统</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状态</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站点模版</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restart"/>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lang w:eastAsia="zh-CN"/>
              </w:rPr>
              <w:t xml:space="preserve"> </w:t>
            </w:r>
            <w:r>
              <w:rPr>
                <w:rFonts w:hint="eastAsia" w:ascii="宋体" w:hAnsi="宋体" w:eastAsia="宋体" w:cs="宋体"/>
                <w:color w:val="000000" w:themeColor="text1"/>
                <w:sz w:val="21"/>
                <w:szCs w:val="21"/>
                <w:lang w:val="en-US" w:eastAsia="zh-Hans"/>
                <w14:textFill>
                  <w14:solidFill>
                    <w14:schemeClr w14:val="tx1"/>
                  </w14:solidFill>
                </w14:textFill>
              </w:rPr>
              <w:t>消息中心</w:t>
            </w: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供应商管理</w:t>
            </w:r>
          </w:p>
        </w:tc>
        <w:tc>
          <w:tcPr>
            <w:tcW w:w="4801" w:type="dxa"/>
            <w:vMerge w:val="restart"/>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系统提供统一的消息发送接收配置管理，配置微信、短信、钉钉、</w:t>
            </w:r>
            <w:r>
              <w:rPr>
                <w:rFonts w:hint="eastAsia" w:ascii="宋体" w:hAnsi="宋体" w:eastAsia="宋体" w:cs="宋体"/>
                <w:color w:val="000000" w:themeColor="text1"/>
                <w:sz w:val="21"/>
                <w:szCs w:val="21"/>
                <w:lang w:val="en-US" w:eastAsia="zh-Hans"/>
                <w14:textFill>
                  <w14:solidFill>
                    <w14:schemeClr w14:val="tx1"/>
                  </w14:solidFill>
                </w14:textFill>
              </w:rPr>
              <w:t>邮箱</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企业微信</w:t>
            </w:r>
            <w:r>
              <w:rPr>
                <w:rFonts w:hint="eastAsia" w:ascii="宋体" w:hAnsi="宋体" w:eastAsia="宋体" w:cs="宋体"/>
                <w:color w:val="000000" w:themeColor="text1"/>
                <w:sz w:val="21"/>
                <w:szCs w:val="21"/>
                <w14:textFill>
                  <w14:solidFill>
                    <w14:schemeClr w14:val="tx1"/>
                  </w14:solidFill>
                </w14:textFill>
              </w:rPr>
              <w:t>等方式，发送各类消息。消息中心也提供消息编辑、发送、查阅、标记等功能。可以发布系统内部消息、也可以发送短信、微信消息。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邮箱配置</w:t>
            </w:r>
          </w:p>
        </w:tc>
        <w:tc>
          <w:tcPr>
            <w:tcW w:w="4801" w:type="dxa"/>
            <w:vMerge w:val="continue"/>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短信配置</w:t>
            </w:r>
          </w:p>
        </w:tc>
        <w:tc>
          <w:tcPr>
            <w:tcW w:w="4801" w:type="dxa"/>
            <w:vMerge w:val="continue"/>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推送配置</w:t>
            </w:r>
          </w:p>
        </w:tc>
        <w:tc>
          <w:tcPr>
            <w:tcW w:w="4801" w:type="dxa"/>
            <w:vMerge w:val="continue"/>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企业微信配置</w:t>
            </w:r>
          </w:p>
        </w:tc>
        <w:tc>
          <w:tcPr>
            <w:tcW w:w="4801" w:type="dxa"/>
            <w:vMerge w:val="continue"/>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公众号配置</w:t>
            </w:r>
          </w:p>
        </w:tc>
        <w:tc>
          <w:tcPr>
            <w:tcW w:w="4801" w:type="dxa"/>
            <w:vMerge w:val="continue"/>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钉钉配置</w:t>
            </w:r>
          </w:p>
        </w:tc>
        <w:tc>
          <w:tcPr>
            <w:tcW w:w="4801" w:type="dxa"/>
            <w:vMerge w:val="continue"/>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消息模版</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支持消息模版</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统一配置模版内容并使用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消息通道</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支持消息通道开启关闭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站内信列表</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系统站内信记录</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支持查询</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查看</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标记已读操作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消息查询</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消息记录</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支持查询</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restart"/>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应用中心</w:t>
            </w: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应用管理</w:t>
            </w:r>
          </w:p>
        </w:tc>
        <w:tc>
          <w:tcPr>
            <w:tcW w:w="4801"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智慧水务方案有多个平台和系统组成，通过公共平台应用中心，智慧水务平台能够对用户运行的所有系统进行严格版本控制和统一管理，为集中、安全、稳定的系统运维做基础支撑。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菜单管理</w:t>
            </w:r>
          </w:p>
        </w:tc>
        <w:tc>
          <w:tcPr>
            <w:tcW w:w="4801"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菜单是系统的重要组成部分，是用户进入各个功能界面的入口，通过菜单维护和管理，实现多级权限控制。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字典管理</w:t>
            </w:r>
          </w:p>
        </w:tc>
        <w:tc>
          <w:tcPr>
            <w:tcW w:w="4801"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对智慧水务解决方案的各个系统，配置统一的数据字典和词语规范，统一化、规范化管理各类业务术语规范。公共平台建立多层次数据字典，包括全局数据字典，租户私有数据字典。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门户菜单</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平台化项目以小门户交付</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支持系统菜单集成门户并配置</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实现多层级分组形式</w:t>
            </w:r>
            <w:r>
              <w:rPr>
                <w:rFonts w:hint="eastAsia" w:ascii="宋体" w:hAnsi="宋体" w:eastAsia="宋体" w:cs="宋体"/>
                <w:color w:val="000000" w:themeColor="text1"/>
                <w:sz w:val="21"/>
                <w:szCs w:val="21"/>
                <w:lang w:eastAsia="zh-Hans"/>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restart"/>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lang w:eastAsia="zh-CN"/>
              </w:rPr>
              <w:t xml:space="preserve"> </w:t>
            </w:r>
            <w:r>
              <w:rPr>
                <w:rFonts w:hint="eastAsia" w:ascii="宋体" w:hAnsi="宋体" w:eastAsia="宋体" w:cs="宋体"/>
                <w:color w:val="000000" w:themeColor="text1"/>
                <w:sz w:val="21"/>
                <w:szCs w:val="21"/>
                <w:lang w:val="en-US" w:eastAsia="zh-Hans"/>
                <w14:textFill>
                  <w14:solidFill>
                    <w14:schemeClr w14:val="tx1"/>
                  </w14:solidFill>
                </w14:textFill>
              </w:rPr>
              <w:t>运维中心</w:t>
            </w: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服务器监控</w:t>
            </w:r>
          </w:p>
        </w:tc>
        <w:tc>
          <w:tcPr>
            <w:tcW w:w="4801" w:type="dxa"/>
            <w:vAlign w:val="center"/>
          </w:tcPr>
          <w:p>
            <w:pPr>
              <w:widowControl w:val="0"/>
              <w:ind w:firstLine="0" w:firstLineChars="0"/>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对各个服务器的运行数据、资源数据的监控，包含服务器资源，CPU，内存，磁盘的使用情况等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Mysql监控</w:t>
            </w:r>
          </w:p>
        </w:tc>
        <w:tc>
          <w:tcPr>
            <w:tcW w:w="4801" w:type="dxa"/>
            <w:vAlign w:val="center"/>
          </w:tcPr>
          <w:p>
            <w:pPr>
              <w:widowControl w:val="0"/>
              <w:ind w:firstLine="0" w:firstLineChars="0"/>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对各个数据库的运行数据、资源数据的监控，包含运行时间，QPS，缓冲池，连接数，查询数量，线程缓存等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微服务监控</w:t>
            </w:r>
          </w:p>
        </w:tc>
        <w:tc>
          <w:tcPr>
            <w:tcW w:w="4801" w:type="dxa"/>
            <w:vAlign w:val="center"/>
          </w:tcPr>
          <w:p>
            <w:pPr>
              <w:widowControl w:val="0"/>
              <w:ind w:firstLine="0" w:firstLineChars="0"/>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对各个微服务（报警中，用户中心，运维中心，日志中心，消息中心，设备平台统一部件，设备平台）的数据监控，包含进程启动时长，进程启动时间，内存使用率，服务指标，JVM内存，JVM负载等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Redis监控</w:t>
            </w:r>
          </w:p>
        </w:tc>
        <w:tc>
          <w:tcPr>
            <w:tcW w:w="4801" w:type="dxa"/>
            <w:vAlign w:val="center"/>
          </w:tcPr>
          <w:p>
            <w:pPr>
              <w:widowControl w:val="0"/>
              <w:ind w:firstLine="0" w:firstLineChars="0"/>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对中间件Redis的运行数据监控，包含运行时长，客户端数，内存使用率，执行命令，网络使用情况，内存等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kafka监控</w:t>
            </w:r>
          </w:p>
        </w:tc>
        <w:tc>
          <w:tcPr>
            <w:tcW w:w="4801" w:type="dxa"/>
            <w:vAlign w:val="center"/>
          </w:tcPr>
          <w:p>
            <w:pPr>
              <w:widowControl w:val="0"/>
              <w:ind w:firstLine="0" w:firstLineChars="0"/>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对中间件KaFka的运行数据监控，包含消息数，消息滞后，消息能力，topic分区情况的分析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nacos监控</w:t>
            </w:r>
          </w:p>
        </w:tc>
        <w:tc>
          <w:tcPr>
            <w:tcW w:w="4801" w:type="dxa"/>
            <w:vAlign w:val="center"/>
          </w:tcPr>
          <w:p>
            <w:pPr>
              <w:widowControl w:val="0"/>
              <w:ind w:firstLine="0" w:firstLineChars="0"/>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对中间件nacos的运行资源数据的监控，包含UP，服务数，ip数，配置数，常轮询，配置推送数，资源数据等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调用链分析</w:t>
            </w:r>
          </w:p>
        </w:tc>
        <w:tc>
          <w:tcPr>
            <w:tcW w:w="4801"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支持根据追踪ID，持续时间，时间范围，服务，实例，状态，端点名称调用链数据追踪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restart"/>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日志中心</w:t>
            </w: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用户日志</w:t>
            </w:r>
          </w:p>
        </w:tc>
        <w:tc>
          <w:tcPr>
            <w:tcW w:w="4801" w:type="dxa"/>
            <w:vMerge w:val="restart"/>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提供系统所有用户登录系统日志以及操作日志，和操作轨迹</w:t>
            </w:r>
            <w:r>
              <w:rPr>
                <w:rFonts w:hint="eastAsia" w:ascii="宋体" w:hAnsi="宋体" w:eastAsia="宋体" w:cs="宋体"/>
                <w:color w:val="000000" w:themeColor="text1"/>
                <w:sz w:val="21"/>
                <w:szCs w:val="21"/>
                <w:lang w:val="en-US" w:eastAsia="zh-Hans"/>
                <w14:textFill>
                  <w14:solidFill>
                    <w14:schemeClr w14:val="tx1"/>
                  </w14:solidFill>
                </w14:textFill>
              </w:rPr>
              <w:t>记录</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对用户系统操作行为可以做分析，以改进系统和统计工作行为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系统日志</w:t>
            </w:r>
          </w:p>
        </w:tc>
        <w:tc>
          <w:tcPr>
            <w:tcW w:w="4801" w:type="dxa"/>
            <w:vMerge w:val="continue"/>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访问统计</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监测用户访问应用系统各个模块的记录</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并分析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接口统计</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监测系统接口的访问数据</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提供接口数量</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调用接口耗时</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次数等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用户看板</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实时查看用户操作记录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restart"/>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系统管理</w:t>
            </w: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系统配置</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配置租户基本信息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登录要素</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配置系统登录页面信息</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应用名称</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浏览器</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导航布局等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路由管理</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配置路由管理信息</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服务</w:t>
            </w:r>
            <w:r>
              <w:rPr>
                <w:rFonts w:hint="eastAsia" w:ascii="宋体" w:hAnsi="宋体" w:eastAsia="宋体" w:cs="宋体"/>
                <w:color w:val="000000" w:themeColor="text1"/>
                <w:sz w:val="21"/>
                <w:szCs w:val="21"/>
                <w:lang w:eastAsia="zh-Hans"/>
                <w14:textFill>
                  <w14:solidFill>
                    <w14:schemeClr w14:val="tx1"/>
                  </w14:solidFill>
                </w14:textFill>
              </w:rPr>
              <w:t>，</w:t>
            </w:r>
            <w:r>
              <w:rPr>
                <w:rFonts w:hint="eastAsia" w:ascii="宋体" w:hAnsi="宋体" w:eastAsia="宋体" w:cs="宋体"/>
                <w:color w:val="000000" w:themeColor="text1"/>
                <w:sz w:val="21"/>
                <w:szCs w:val="21"/>
                <w:lang w:val="en-US" w:eastAsia="zh-Hans"/>
                <w14:textFill>
                  <w14:solidFill>
                    <w14:schemeClr w14:val="tx1"/>
                  </w14:solidFill>
                </w14:textFill>
              </w:rPr>
              <w:t>URL等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认证管理</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OAuth2登录所需的认证客户端信息的后台管理页面，支持新增、编辑OAuth2协议所需的认证客户端信息，支持多种密码/客户端/刷新/验证码加密/拖动验证码授权模式。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dxa"/>
          </w:tcPr>
          <w:p>
            <w:pPr>
              <w:widowControl w:val="0"/>
              <w:ind w:firstLine="0" w:firstLineChars="0"/>
              <w:jc w:val="both"/>
              <w:rPr>
                <w:rFonts w:hint="eastAsia" w:ascii="宋体" w:hAnsi="宋体" w:eastAsia="宋体" w:cs="宋体"/>
                <w:color w:val="000000" w:themeColor="text1"/>
                <w:sz w:val="21"/>
                <w:szCs w:val="21"/>
                <w14:textFill>
                  <w14:solidFill>
                    <w14:schemeClr w14:val="tx1"/>
                  </w14:solidFill>
                </w14:textFill>
              </w:rPr>
            </w:pPr>
          </w:p>
        </w:tc>
        <w:tc>
          <w:tcPr>
            <w:tcW w:w="1426" w:type="dxa"/>
            <w:vMerge w:val="continue"/>
          </w:tcPr>
          <w:p>
            <w:pPr>
              <w:widowControl w:val="0"/>
              <w:ind w:firstLine="0" w:firstLineChars="0"/>
              <w:jc w:val="center"/>
              <w:rPr>
                <w:rFonts w:hint="eastAsia" w:ascii="宋体" w:hAnsi="宋体" w:eastAsia="宋体" w:cs="宋体"/>
                <w:color w:val="000000" w:themeColor="text1"/>
                <w:sz w:val="21"/>
                <w:szCs w:val="21"/>
                <w:lang w:val="en-US" w:eastAsia="zh-Hans"/>
                <w14:textFill>
                  <w14:solidFill>
                    <w14:schemeClr w14:val="tx1"/>
                  </w14:solidFill>
                </w14:textFill>
              </w:rPr>
            </w:pPr>
          </w:p>
        </w:tc>
        <w:tc>
          <w:tcPr>
            <w:tcW w:w="1537"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文件管理</w:t>
            </w:r>
          </w:p>
        </w:tc>
        <w:tc>
          <w:tcPr>
            <w:tcW w:w="4801" w:type="dxa"/>
          </w:tcPr>
          <w:p>
            <w:pPr>
              <w:widowControl w:val="0"/>
              <w:ind w:firstLine="0" w:firstLineChars="0"/>
              <w:jc w:val="both"/>
              <w:rPr>
                <w:rFonts w:hint="eastAsia" w:ascii="宋体" w:hAnsi="宋体" w:eastAsia="宋体" w:cs="宋体"/>
                <w:color w:val="000000" w:themeColor="text1"/>
                <w:sz w:val="21"/>
                <w:szCs w:val="21"/>
                <w:lang w:val="en-US" w:eastAsia="zh-Hans"/>
                <w14:textFill>
                  <w14:solidFill>
                    <w14:schemeClr w14:val="tx1"/>
                  </w14:solidFill>
                </w14:textFill>
              </w:rPr>
            </w:pPr>
            <w:r>
              <w:rPr>
                <w:rFonts w:hint="eastAsia" w:ascii="宋体" w:hAnsi="宋体" w:eastAsia="宋体" w:cs="宋体"/>
                <w:color w:val="000000" w:themeColor="text1"/>
                <w:sz w:val="21"/>
                <w:szCs w:val="21"/>
                <w:lang w:val="en-US" w:eastAsia="zh-Hans"/>
                <w14:textFill>
                  <w14:solidFill>
                    <w14:schemeClr w14:val="tx1"/>
                  </w14:solidFill>
                </w14:textFill>
              </w:rPr>
              <w:t>系统所有上传文件统一管理</w:t>
            </w:r>
          </w:p>
        </w:tc>
      </w:tr>
    </w:tbl>
    <w:p>
      <w:pPr>
        <w:bidi w:val="0"/>
        <w:rPr>
          <w:rFonts w:hint="eastAsia"/>
          <w:lang w:val="en-US" w:eastAsia="zh-CN"/>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977A47"/>
    <w:multiLevelType w:val="singleLevel"/>
    <w:tmpl w:val="B4977A47"/>
    <w:lvl w:ilvl="0" w:tentative="0">
      <w:start w:val="1"/>
      <w:numFmt w:val="bullet"/>
      <w:lvlText w:val=""/>
      <w:lvlJc w:val="left"/>
      <w:pPr>
        <w:ind w:left="420" w:hanging="420"/>
      </w:pPr>
      <w:rPr>
        <w:rFonts w:hint="default" w:ascii="Wingdings" w:hAnsi="Wingdings"/>
      </w:rPr>
    </w:lvl>
  </w:abstractNum>
  <w:abstractNum w:abstractNumId="1">
    <w:nsid w:val="17A29AB9"/>
    <w:multiLevelType w:val="singleLevel"/>
    <w:tmpl w:val="17A29AB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2NGE0N2I5Nzg0ZTQ0YzRhOTU1ZTE3NWE3YWEyZDgifQ=="/>
  </w:docVars>
  <w:rsids>
    <w:rsidRoot w:val="533464B8"/>
    <w:rsid w:val="03842A3C"/>
    <w:rsid w:val="100F0B58"/>
    <w:rsid w:val="1ED66AA1"/>
    <w:rsid w:val="2705620A"/>
    <w:rsid w:val="316250E0"/>
    <w:rsid w:val="3AAA0646"/>
    <w:rsid w:val="3C947F0C"/>
    <w:rsid w:val="498F3B76"/>
    <w:rsid w:val="49B41657"/>
    <w:rsid w:val="4C730F45"/>
    <w:rsid w:val="533464B8"/>
    <w:rsid w:val="5E526A77"/>
    <w:rsid w:val="7D6B5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ascii="Times New Roman" w:hAnsi="Times New Roman" w:eastAsia="宋体" w:cs="Times New Roman"/>
      <w:kern w:val="2"/>
      <w:sz w:val="24"/>
      <w:szCs w:val="24"/>
      <w:lang w:val="en-US" w:eastAsia="zh-CN" w:bidi="ar-SA"/>
    </w:rPr>
  </w:style>
  <w:style w:type="paragraph" w:styleId="5">
    <w:name w:val="heading 3"/>
    <w:basedOn w:val="1"/>
    <w:next w:val="1"/>
    <w:qFormat/>
    <w:uiPriority w:val="0"/>
    <w:pPr>
      <w:keepNext/>
      <w:keepLines/>
      <w:spacing w:before="260" w:after="260" w:line="416" w:lineRule="auto"/>
      <w:outlineLvl w:val="2"/>
    </w:pPr>
    <w:rPr>
      <w:b/>
      <w:bCs/>
      <w:sz w:val="28"/>
      <w:szCs w:val="32"/>
    </w:rPr>
  </w:style>
  <w:style w:type="paragraph" w:styleId="6">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tabs>
        <w:tab w:val="left" w:pos="0"/>
        <w:tab w:val="left" w:pos="540"/>
        <w:tab w:val="left" w:pos="630"/>
        <w:tab w:val="left" w:pos="1440"/>
      </w:tabs>
      <w:spacing w:line="360" w:lineRule="auto"/>
      <w:ind w:firstLine="420"/>
    </w:pPr>
    <w:rPr>
      <w:sz w:val="20"/>
      <w:szCs w:val="20"/>
    </w:rPr>
  </w:style>
  <w:style w:type="paragraph" w:styleId="3">
    <w:name w:val="Body Text Indent"/>
    <w:basedOn w:val="1"/>
    <w:next w:val="4"/>
    <w:semiHidden/>
    <w:unhideWhenUsed/>
    <w:qFormat/>
    <w:uiPriority w:val="99"/>
    <w:pPr>
      <w:spacing w:after="120"/>
      <w:ind w:left="420" w:leftChars="200"/>
    </w:pPr>
  </w:style>
  <w:style w:type="paragraph" w:styleId="4">
    <w:name w:val="Body Text 3"/>
    <w:basedOn w:val="1"/>
    <w:unhideWhenUsed/>
    <w:qFormat/>
    <w:uiPriority w:val="99"/>
    <w:pPr>
      <w:spacing w:after="120"/>
    </w:pPr>
    <w:rPr>
      <w:sz w:val="16"/>
    </w:rPr>
  </w:style>
  <w:style w:type="paragraph" w:styleId="7">
    <w:name w:val="Body Text"/>
    <w:basedOn w:val="1"/>
    <w:unhideWhenUsed/>
    <w:qFormat/>
    <w:uiPriority w:val="99"/>
    <w:pPr>
      <w:spacing w:after="120"/>
    </w:pPr>
  </w:style>
  <w:style w:type="paragraph" w:styleId="8">
    <w:name w:val="Body Text First Indent"/>
    <w:basedOn w:val="7"/>
    <w:unhideWhenUsed/>
    <w:qFormat/>
    <w:uiPriority w:val="0"/>
    <w:pPr>
      <w:spacing w:after="0"/>
    </w:pPr>
    <w:rPr>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Default"/>
    <w:unhideWhenUsed/>
    <w:qFormat/>
    <w:uiPriority w:val="99"/>
    <w:pPr>
      <w:widowControl w:val="0"/>
      <w:autoSpaceDE w:val="0"/>
      <w:autoSpaceDN w:val="0"/>
      <w:adjustRightInd w:val="0"/>
    </w:pPr>
    <w:rPr>
      <w:rFonts w:hint="eastAsia"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7786</Words>
  <Characters>8154</Characters>
  <Lines>0</Lines>
  <Paragraphs>0</Paragraphs>
  <TotalTime>27</TotalTime>
  <ScaleCrop>false</ScaleCrop>
  <LinksUpToDate>false</LinksUpToDate>
  <CharactersWithSpaces>8157</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2022-07-23T11:34:00Z</dcterms:created>
  <dc:creator>Administrator</dc:creator>
  <cp:lastModifiedBy>AAA</cp:lastModifiedBy>
  <dcterms:modified xsi:type="dcterms:W3CDTF">2022-07-29T02:02:06Z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259FE273BF8D4E0A809274BB5AB1E374</vt:lpwstr>
  </property>
</Properties>
</file>